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sz w:val="44"/>
          <w:szCs w:val="44"/>
        </w:rPr>
      </w:pPr>
      <w:bookmarkStart w:id="0" w:name="_GoBack"/>
      <w:bookmarkEnd w:id="0"/>
      <w:r>
        <w:rPr>
          <w:sz w:val="44"/>
          <w:szCs w:val="44"/>
        </w:rPr>
        <w:pict>
          <v:shape id="艺术字 78" o:spid="_x0000_s2050" o:spt="136" type="#_x0000_t136" style="position:absolute;left:0pt;margin-left:27pt;margin-top:0pt;height:39.75pt;width:387pt;z-index:251659264;mso-width-relative:page;mso-height-relative:page;" fillcolor="#FF0000" filled="t" stroked="t" coordsize="21600,21600" adj="10800">
            <v:path/>
            <v:fill on="t" color2="#FFFFFF" focussize="0,0"/>
            <v:stroke weight="1.25pt" color="#FF0000"/>
            <v:imagedata o:title=""/>
            <o:lock v:ext="edit" aspectratio="f"/>
            <v:textpath on="t" fitshape="t" fitpath="t" trim="t" xscale="f" string="泸县消防救援大队" style="font-family:宋体;font-size:40pt;font-weight:bold;v-rotate-letters:f;v-same-letter-heights:f;v-text-align:center;"/>
          </v:shape>
        </w:pict>
      </w:r>
    </w:p>
    <w:p>
      <w:pPr>
        <w:spacing w:line="500" w:lineRule="exact"/>
        <w:jc w:val="center"/>
        <w:rPr>
          <w:sz w:val="44"/>
          <w:szCs w:val="44"/>
        </w:rPr>
      </w:pPr>
    </w:p>
    <w:p>
      <w:pPr>
        <w:widowControl/>
        <w:spacing w:line="360" w:lineRule="auto"/>
        <w:jc w:val="center"/>
        <w:rPr>
          <w:rFonts w:eastAsia="仿宋_GB2312"/>
          <w:sz w:val="32"/>
          <w:szCs w:val="32"/>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58420</wp:posOffset>
                </wp:positionV>
                <wp:extent cx="5372100" cy="0"/>
                <wp:effectExtent l="0" t="29845" r="0" b="46355"/>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603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5pt;margin-top:4.6pt;height:0pt;width:423pt;z-index:251660288;mso-width-relative:page;mso-height-relative:page;" filled="f" stroked="t" coordsize="21600,21600" o:gfxdata="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97in9MAAAAGAQAADwAAAAAAAAABACAAAAAiAAAAZHJzL2Rvd25yZXYu&#10;eG1sUEsBAhQAFAAAAAgAh07iQAhGWl0AAgAA+QMAAA4AAAAAAAAAAQAgAAAAIgEAAGRycy9lMm9E&#10;b2MueG1sUEsFBgAAAAAGAAYAWQEAAJQFAAAAAA==&#10;">
                <v:fill on="f" focussize="0,0"/>
                <v:stroke weight="4.75pt" color="#FF0000" linestyle="thickThin" joinstyle="round"/>
                <v:imagedata o:title=""/>
                <o:lock v:ext="edit" aspectratio="f"/>
              </v:line>
            </w:pict>
          </mc:Fallback>
        </mc:AlternateContent>
      </w:r>
      <w:r>
        <w:rPr>
          <w:rFonts w:eastAsia="仿宋_GB2312"/>
          <w:sz w:val="32"/>
          <w:szCs w:val="32"/>
        </w:rPr>
        <w:t xml:space="preserve">                  </w:t>
      </w:r>
    </w:p>
    <w:p>
      <w:pPr>
        <w:keepNext w:val="0"/>
        <w:keepLines w:val="0"/>
        <w:pageBreakBefore w:val="0"/>
        <w:widowControl/>
        <w:kinsoku/>
        <w:wordWrap/>
        <w:overflowPunct/>
        <w:topLinePunct w:val="0"/>
        <w:bidi w:val="0"/>
        <w:spacing w:line="578"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泸县消防救援大队</w:t>
      </w:r>
    </w:p>
    <w:p>
      <w:pPr>
        <w:keepNext w:val="0"/>
        <w:keepLines w:val="0"/>
        <w:pageBreakBefore w:val="0"/>
        <w:widowControl/>
        <w:kinsoku/>
        <w:wordWrap/>
        <w:overflowPunct/>
        <w:topLinePunct w:val="0"/>
        <w:bidi w:val="0"/>
        <w:spacing w:line="578"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2</w:t>
      </w:r>
      <w:r>
        <w:rPr>
          <w:rFonts w:hint="eastAsia" w:ascii="方正小标宋_GBK" w:hAnsi="方正小标宋_GBK" w:eastAsia="方正小标宋_GBK" w:cs="方正小标宋_GBK"/>
          <w:sz w:val="44"/>
          <w:szCs w:val="44"/>
          <w:shd w:val="clear" w:color="auto" w:fill="FFFFFF"/>
        </w:rPr>
        <w:t>年部门</w:t>
      </w:r>
      <w:r>
        <w:rPr>
          <w:rFonts w:hint="eastAsia" w:ascii="方正小标宋_GBK" w:hAnsi="方正小标宋_GBK" w:eastAsia="方正小标宋_GBK" w:cs="方正小标宋_GBK"/>
          <w:sz w:val="44"/>
          <w:szCs w:val="44"/>
          <w:shd w:val="clear" w:color="auto" w:fill="FFFFFF"/>
          <w:lang w:val="en-US" w:eastAsia="zh-CN"/>
        </w:rPr>
        <w:t>整体</w:t>
      </w:r>
      <w:r>
        <w:rPr>
          <w:rFonts w:hint="eastAsia" w:ascii="方正小标宋_GBK" w:hAnsi="方正小标宋_GBK" w:eastAsia="方正小标宋_GBK" w:cs="方正小标宋_GBK"/>
          <w:sz w:val="44"/>
          <w:szCs w:val="44"/>
          <w:shd w:val="clear" w:color="auto" w:fill="FFFFFF"/>
        </w:rPr>
        <w:t>绩效评价报告</w:t>
      </w:r>
    </w:p>
    <w:p>
      <w:pPr>
        <w:keepNext w:val="0"/>
        <w:keepLines w:val="0"/>
        <w:pageBreakBefore w:val="0"/>
        <w:kinsoku/>
        <w:wordWrap/>
        <w:overflowPunct/>
        <w:topLinePunct w:val="0"/>
        <w:autoSpaceDN/>
        <w:bidi w:val="0"/>
        <w:spacing w:line="578" w:lineRule="exact"/>
        <w:ind w:left="0" w:leftChars="0"/>
        <w:jc w:val="center"/>
        <w:textAlignment w:val="auto"/>
        <w:rPr>
          <w:rFonts w:hint="eastAsia" w:ascii="方正黑体_GBK" w:hAnsi="方正黑体_GBK" w:eastAsia="方正黑体_GBK" w:cs="方正黑体_GBK"/>
          <w:b/>
          <w:bCs/>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（一）机构组成</w:t>
      </w:r>
    </w:p>
    <w:p>
      <w:pPr>
        <w:keepNext w:val="0"/>
        <w:keepLines w:val="0"/>
        <w:pageBreakBefore w:val="0"/>
        <w:widowControl/>
        <w:kinsoku/>
        <w:wordWrap/>
        <w:overflowPunct/>
        <w:topLinePunct w:val="0"/>
        <w:bidi w:val="0"/>
        <w:adjustRightInd w:val="0"/>
        <w:snapToGrid w:val="0"/>
        <w:spacing w:line="578"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lang w:val="zh-CN"/>
        </w:rPr>
        <w:t>泸县消防救援大队是泸州市消防救援支队下属单位，为正科级。泸县消防救援大队下属二级单位0个，其中行政单位0个，参照公务员法管理的事业单位0个，其他事业单位0个。</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机构职能</w:t>
      </w:r>
    </w:p>
    <w:p>
      <w:pPr>
        <w:pStyle w:val="3"/>
        <w:keepNext w:val="0"/>
        <w:keepLines w:val="0"/>
        <w:pageBreakBefore w:val="0"/>
        <w:kinsoku/>
        <w:wordWrap/>
        <w:overflowPunct/>
        <w:topLinePunct w:val="0"/>
        <w:bidi w:val="0"/>
        <w:adjustRightInd w:val="0"/>
        <w:snapToGrid w:val="0"/>
        <w:spacing w:beforeLines="0" w:line="578" w:lineRule="exact"/>
        <w:ind w:firstLine="640" w:firstLineChars="200"/>
        <w:textAlignment w:val="auto"/>
        <w:outlineLvl w:val="2"/>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2"/>
          <w:sz w:val="32"/>
          <w:szCs w:val="32"/>
          <w:lang w:val="zh-CN" w:eastAsia="zh-CN" w:bidi="ar-SA"/>
        </w:rPr>
        <w:t>泸县消防救援大队的主要任务是查处消防违法行为；监督机关、团体、企事业单位遵守消防法规，监督指导消防安全重点单位；监督有关部门和单位对城市公共消防设施的规划、建设、维护、管理、编制消防装备计划；公共聚集场所开业前检查等。</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人员概况</w:t>
      </w:r>
    </w:p>
    <w:p>
      <w:pPr>
        <w:keepNext w:val="0"/>
        <w:keepLines w:val="0"/>
        <w:pageBreakBefore w:val="0"/>
        <w:widowControl/>
        <w:kinsoku/>
        <w:wordWrap/>
        <w:overflowPunct/>
        <w:topLinePunct w:val="0"/>
        <w:bidi w:val="0"/>
        <w:adjustRightInd w:val="0"/>
        <w:snapToGrid w:val="0"/>
        <w:spacing w:line="578"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2"/>
          <w:sz w:val="32"/>
          <w:szCs w:val="32"/>
          <w:lang w:val="zh-CN" w:eastAsia="zh-CN" w:bidi="ar-SA"/>
        </w:rPr>
        <w:t>泸县消防救援大队</w:t>
      </w:r>
      <w:r>
        <w:rPr>
          <w:rFonts w:hint="default" w:ascii="Times New Roman" w:hAnsi="Times New Roman" w:eastAsia="方正仿宋_GBK" w:cs="Times New Roman"/>
          <w:kern w:val="2"/>
          <w:sz w:val="32"/>
          <w:szCs w:val="32"/>
          <w:lang w:val="en-US" w:eastAsia="zh-CN" w:bidi="ar-SA"/>
        </w:rPr>
        <w:t>人员</w:t>
      </w:r>
      <w:r>
        <w:rPr>
          <w:rFonts w:hint="default" w:ascii="Times New Roman" w:hAnsi="Times New Roman" w:eastAsia="方正仿宋_GBK" w:cs="Times New Roman"/>
          <w:kern w:val="2"/>
          <w:sz w:val="32"/>
          <w:szCs w:val="32"/>
          <w:lang w:val="zh-CN" w:eastAsia="zh-CN" w:bidi="ar-SA"/>
        </w:rPr>
        <w:t>数为</w:t>
      </w:r>
      <w:r>
        <w:rPr>
          <w:rFonts w:hint="default" w:ascii="Times New Roman" w:hAnsi="Times New Roman" w:eastAsia="方正仿宋_GBK" w:cs="Times New Roman"/>
          <w:kern w:val="2"/>
          <w:sz w:val="32"/>
          <w:szCs w:val="32"/>
          <w:lang w:val="en-US" w:eastAsia="zh-CN" w:bidi="ar-SA"/>
        </w:rPr>
        <w:t>19</w:t>
      </w:r>
      <w:r>
        <w:rPr>
          <w:rFonts w:hint="default" w:ascii="Times New Roman" w:hAnsi="Times New Roman" w:eastAsia="方正仿宋_GBK" w:cs="Times New Roman"/>
          <w:kern w:val="2"/>
          <w:sz w:val="32"/>
          <w:szCs w:val="32"/>
          <w:lang w:val="zh-CN" w:eastAsia="zh-CN" w:bidi="ar-SA"/>
        </w:rPr>
        <w:t>人。202</w:t>
      </w: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zh-CN" w:eastAsia="zh-CN" w:bidi="ar-SA"/>
        </w:rPr>
        <w:t>年实有人员</w:t>
      </w:r>
      <w:r>
        <w:rPr>
          <w:rFonts w:hint="default" w:ascii="Times New Roman" w:hAnsi="Times New Roman" w:eastAsia="方正仿宋_GBK" w:cs="Times New Roman"/>
          <w:kern w:val="2"/>
          <w:sz w:val="32"/>
          <w:szCs w:val="32"/>
          <w:lang w:val="en-US" w:eastAsia="zh-CN" w:bidi="ar-SA"/>
        </w:rPr>
        <w:t>19</w:t>
      </w:r>
      <w:r>
        <w:rPr>
          <w:rFonts w:hint="default" w:ascii="Times New Roman" w:hAnsi="Times New Roman" w:eastAsia="方正仿宋_GBK" w:cs="Times New Roman"/>
          <w:kern w:val="2"/>
          <w:sz w:val="32"/>
          <w:szCs w:val="32"/>
          <w:lang w:val="zh-CN" w:eastAsia="zh-CN" w:bidi="ar-SA"/>
        </w:rPr>
        <w:t>人，</w:t>
      </w:r>
      <w:r>
        <w:rPr>
          <w:rFonts w:hint="default" w:ascii="Times New Roman" w:hAnsi="Times New Roman" w:eastAsia="方正仿宋_GBK" w:cs="Times New Roman"/>
          <w:kern w:val="2"/>
          <w:sz w:val="32"/>
          <w:szCs w:val="32"/>
          <w:lang w:val="en-US" w:eastAsia="zh-CN" w:bidi="ar-SA"/>
        </w:rPr>
        <w:t>5名干部，14名</w:t>
      </w:r>
      <w:r>
        <w:rPr>
          <w:rFonts w:hint="default" w:ascii="Times New Roman" w:hAnsi="Times New Roman" w:eastAsia="方正仿宋_GBK" w:cs="Times New Roman"/>
          <w:kern w:val="2"/>
          <w:sz w:val="32"/>
          <w:szCs w:val="32"/>
          <w:lang w:val="zh-CN" w:eastAsia="zh-CN" w:bidi="ar-SA"/>
        </w:rPr>
        <w:t>合同制外聘人员。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rPr>
        <w:t>部门财政资金收支情况</w:t>
      </w:r>
    </w:p>
    <w:p>
      <w:pPr>
        <w:keepNext w:val="0"/>
        <w:keepLines w:val="0"/>
        <w:pageBreakBefore w:val="0"/>
        <w:widowControl/>
        <w:kinsoku/>
        <w:wordWrap/>
        <w:overflowPunct/>
        <w:topLinePunct w:val="0"/>
        <w:bidi w:val="0"/>
        <w:adjustRightInd w:val="0"/>
        <w:snapToGrid w:val="0"/>
        <w:spacing w:line="578"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2"/>
          <w:sz w:val="32"/>
          <w:szCs w:val="32"/>
          <w:lang w:val="zh-CN" w:eastAsia="zh-CN" w:bidi="ar-SA"/>
        </w:rPr>
        <w:t>202</w:t>
      </w: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zh-CN" w:eastAsia="zh-CN" w:bidi="ar-SA"/>
        </w:rPr>
        <w:t>年初预算严格按照相关文件进行合理预算总计为1</w:t>
      </w:r>
      <w:r>
        <w:rPr>
          <w:rFonts w:hint="default" w:ascii="Times New Roman" w:hAnsi="Times New Roman" w:eastAsia="方正仿宋_GBK" w:cs="Times New Roman"/>
          <w:kern w:val="2"/>
          <w:sz w:val="32"/>
          <w:szCs w:val="32"/>
          <w:lang w:val="en-US" w:eastAsia="zh-CN" w:bidi="ar-SA"/>
        </w:rPr>
        <w:t>65.32</w:t>
      </w:r>
      <w:r>
        <w:rPr>
          <w:rFonts w:hint="default" w:ascii="Times New Roman" w:hAnsi="Times New Roman" w:eastAsia="方正仿宋_GBK" w:cs="Times New Roman"/>
          <w:kern w:val="2"/>
          <w:sz w:val="32"/>
          <w:szCs w:val="32"/>
          <w:lang w:val="zh-CN" w:eastAsia="zh-CN" w:bidi="ar-SA"/>
        </w:rPr>
        <w:t>万元，主要分为基本支出58.32万元（包括人员经费、日常公用经费）和项目支出</w:t>
      </w:r>
      <w:r>
        <w:rPr>
          <w:rFonts w:hint="default" w:ascii="Times New Roman" w:hAnsi="Times New Roman" w:eastAsia="方正仿宋_GBK" w:cs="Times New Roman"/>
          <w:kern w:val="2"/>
          <w:sz w:val="32"/>
          <w:szCs w:val="32"/>
          <w:lang w:val="en-US" w:eastAsia="zh-CN" w:bidi="ar-SA"/>
        </w:rPr>
        <w:t>107</w:t>
      </w:r>
      <w:r>
        <w:rPr>
          <w:rFonts w:hint="default" w:ascii="Times New Roman" w:hAnsi="Times New Roman" w:eastAsia="方正仿宋_GBK" w:cs="Times New Roman"/>
          <w:kern w:val="2"/>
          <w:sz w:val="32"/>
          <w:szCs w:val="32"/>
          <w:lang w:val="zh-CN" w:eastAsia="zh-CN" w:bidi="ar-SA"/>
        </w:rPr>
        <w:t>万元两类。202</w:t>
      </w: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zh-CN" w:eastAsia="zh-CN" w:bidi="ar-SA"/>
        </w:rPr>
        <w:t>年财政拨款收入1</w:t>
      </w:r>
      <w:r>
        <w:rPr>
          <w:rFonts w:hint="default" w:ascii="Times New Roman" w:hAnsi="Times New Roman" w:eastAsia="方正仿宋_GBK" w:cs="Times New Roman"/>
          <w:kern w:val="2"/>
          <w:sz w:val="32"/>
          <w:szCs w:val="32"/>
          <w:lang w:val="en-US" w:eastAsia="zh-CN" w:bidi="ar-SA"/>
        </w:rPr>
        <w:t>65.32</w:t>
      </w:r>
      <w:r>
        <w:rPr>
          <w:rFonts w:hint="default" w:ascii="Times New Roman" w:hAnsi="Times New Roman" w:eastAsia="方正仿宋_GBK" w:cs="Times New Roman"/>
          <w:kern w:val="2"/>
          <w:sz w:val="32"/>
          <w:szCs w:val="32"/>
          <w:lang w:val="zh-CN" w:eastAsia="zh-CN" w:bidi="ar-SA"/>
        </w:rPr>
        <w:t>万元。支出1</w:t>
      </w:r>
      <w:r>
        <w:rPr>
          <w:rFonts w:hint="default" w:ascii="Times New Roman" w:hAnsi="Times New Roman" w:eastAsia="方正仿宋_GBK" w:cs="Times New Roman"/>
          <w:kern w:val="2"/>
          <w:sz w:val="32"/>
          <w:szCs w:val="32"/>
          <w:lang w:val="en-US" w:eastAsia="zh-CN" w:bidi="ar-SA"/>
        </w:rPr>
        <w:t>65.32</w:t>
      </w:r>
      <w:r>
        <w:rPr>
          <w:rFonts w:hint="default" w:ascii="Times New Roman" w:hAnsi="Times New Roman" w:eastAsia="方正仿宋_GBK" w:cs="Times New Roman"/>
          <w:kern w:val="2"/>
          <w:sz w:val="32"/>
          <w:szCs w:val="32"/>
          <w:lang w:val="zh-CN" w:eastAsia="zh-CN" w:bidi="ar-SA"/>
        </w:rPr>
        <w:t>万元，其中：基本支出58.32万元（人员经费支出40.32万元，日常公用支出18万元）；项目支出</w:t>
      </w:r>
      <w:r>
        <w:rPr>
          <w:rFonts w:hint="default" w:ascii="Times New Roman" w:hAnsi="Times New Roman" w:eastAsia="方正仿宋_GBK" w:cs="Times New Roman"/>
          <w:kern w:val="2"/>
          <w:sz w:val="32"/>
          <w:szCs w:val="32"/>
          <w:lang w:val="en-US" w:eastAsia="zh-CN" w:bidi="ar-SA"/>
        </w:rPr>
        <w:t>107</w:t>
      </w:r>
      <w:r>
        <w:rPr>
          <w:rFonts w:hint="default" w:ascii="Times New Roman" w:hAnsi="Times New Roman" w:eastAsia="方正仿宋_GBK" w:cs="Times New Roman"/>
          <w:kern w:val="2"/>
          <w:sz w:val="32"/>
          <w:szCs w:val="32"/>
          <w:lang w:val="zh-CN" w:eastAsia="zh-CN" w:bidi="ar-SA"/>
        </w:rPr>
        <w:t>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三、部门财政支出管理情况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（一）预决算编制情况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年1月，严格按照《预算法》、《中华人民共和国预算法实施条例》及《泸县202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年县本级部门预算编制方法和口径》等预算编制的法律、法规，以202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12月31日为基本支出预算编制基准期。基本支出预算包括人员经费和日常公用经费两部分，采取人员经费按标准、公用经费按定额编制的方法，结合我大队实际和工作计划，认真开展我大队的预算编制工作，人员经费预算切实做到数据完整和准确无误。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（二）执行管理情况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在资金的支出执行上严格按照预算执行，坚持“反对浪费，节约开支”的原则，专款专用，不拖欠，不挪用。在收到财政对口股室下达的各类指标后，按照资金的用途，在把好审核关的基础上，按时按量按照资金预算进度及时拨付各项款项。人员经费、日常公用及项目资金全部是按要求和规定给予支付，特别是在三公经费方面加强管理，不该报销的一律不给予报销，严格把支出控制在年初的预算指标内，严格按照</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、省、市、县“十项规定”和财务相关规定执行财政资金的管理和使用。202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年在保证我大队日常工作的正常运转和我大队各项工作的圆满完成情况下，把节约的经费全部上缴财政。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（三）支出绩效情况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1.部门支出绩效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（1）行政运转保障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我大队严格遵守各项财经纪律，加强单位财务管理工作，制定了相关规章制度，加强和细化了预算编制，严格按照预算执行，确保财务收支平衡，保障单位工作正常运转和各项目标任务的完成。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（2）机关厉行节约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大队根据单位具体情况制定了《泸县消防救援大队内部控制制度》，进一步完善了财务收支审批制度、会计工作人员岗位制度等相关制度。相关工作人员在工作中严格执行规章制度，加强了内部监督和控制，增强财务运行透明度，按照县财政局的要求，县人社局及时对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年预算信息进行了公开，接受广大人民群众的监督。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总之，我大队202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年度认真落实贯彻了</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、省、市、县“十项规定”和单位财务规章制度，优化了年度预算安排，提高财政资金使用效益，保障了部门更好地履行职责。使得各项工作圆满完成。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（3）机关节能降耗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我大队一直遵循</w:t>
      </w:r>
      <w:r>
        <w:rPr>
          <w:rFonts w:hint="default" w:ascii="Times New Roman" w:hAnsi="Times New Roman" w:eastAsia="方正仿宋_GBK" w:cs="Times New Roman"/>
          <w:sz w:val="32"/>
          <w:szCs w:val="32"/>
        </w:rPr>
        <w:t>和发扬中华民族勤俭节约的优良传统，自觉养成节约习惯，倡导健康、文明、节俭、适度的消费理念，从自身的用水、用电做起，打造消防队伍“人人讲节约、事事讲节约、时时讲节约”的良好氛围。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2.专项预算项目（待批复项目）支出绩效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）项目资金管理情况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rPr>
      </w:pPr>
      <w:r>
        <w:rPr>
          <w:rFonts w:hint="default" w:ascii="Times New Roman" w:hAnsi="Times New Roman" w:eastAsia="方正仿宋_GBK" w:cs="Times New Roman"/>
          <w:sz w:val="32"/>
          <w:szCs w:val="32"/>
        </w:rPr>
        <w:t>我单位202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年预算项目</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项，项目预算资金总额共计</w:t>
      </w:r>
      <w:r>
        <w:rPr>
          <w:rFonts w:hint="default" w:ascii="Times New Roman" w:hAnsi="Times New Roman" w:eastAsia="方正仿宋_GBK" w:cs="Times New Roman"/>
          <w:sz w:val="32"/>
          <w:szCs w:val="32"/>
          <w:lang w:val="en-US" w:eastAsia="zh-CN"/>
        </w:rPr>
        <w:t>107</w:t>
      </w:r>
      <w:r>
        <w:rPr>
          <w:rFonts w:hint="default" w:ascii="Times New Roman" w:hAnsi="Times New Roman" w:eastAsia="方正仿宋_GBK" w:cs="Times New Roman"/>
          <w:sz w:val="32"/>
          <w:szCs w:val="32"/>
        </w:rPr>
        <w:t>万元。我单位都是严格按照预算项目资金的使用范围和用途高效合理地使用资金。（见202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年项目支出绩效目标完成情况表）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）绩效目标完成情况。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rPr>
        <w:t>年，泸县消防救援大队在县委、县政府的坚强领导下，深入学习贯彻党的十九大精神，全面落实省、市人社工作会议精神和县委决策部署，充分发挥消防救援发展服务、保障民生的优势和作用，结合“不忘初心、牢记使命”主题教育，不断开拓创新、锐意进取，各项任务工作完成情况良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消防执法</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年共接待受理群众举报、投诉225件， 现场调查225件，立案15件，结案率达95.5％；未发生因消防安全导致的群体性上访事件。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被</w:t>
      </w:r>
      <w:r>
        <w:rPr>
          <w:rFonts w:hint="eastAsia" w:ascii="Times New Roman" w:hAnsi="Times New Roman" w:eastAsia="仿宋_GB2312" w:cs="Times New Roman"/>
          <w:b/>
          <w:bCs/>
          <w:sz w:val="32"/>
          <w:szCs w:val="32"/>
          <w:lang w:eastAsia="zh-CN"/>
        </w:rPr>
        <w:t>装</w:t>
      </w:r>
      <w:r>
        <w:rPr>
          <w:rFonts w:hint="eastAsia" w:ascii="Times New Roman" w:hAnsi="Times New Roman" w:eastAsia="仿宋_GB2312" w:cs="Times New Roman"/>
          <w:b/>
          <w:bCs/>
          <w:sz w:val="32"/>
          <w:szCs w:val="32"/>
        </w:rPr>
        <w:t>购置</w:t>
      </w:r>
      <w:r>
        <w:rPr>
          <w:rFonts w:hint="eastAsia" w:ascii="Times New Roman" w:hAnsi="Times New Roman" w:eastAsia="仿宋_GB2312" w:cs="Times New Roman"/>
          <w:sz w:val="32"/>
          <w:szCs w:val="32"/>
        </w:rPr>
        <w:t>：全年确保了消防救援人员的被装供应，保障了消防救援人员的日常训练及救援工作开展。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（四）财务管理情况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泸县消防救援队建立了《泸县消防救援大队内部控制手册》，制定了相应的“三重一大决策制度”、“预算管理制度”、“收支管理制度”、“公务接待管理制度”等等规章制度。在执行过程中我大队严格遵守单位制定的各项规章制度以及《行政单位会计制度》。做到账务处理规范，会计凭证和财务报告真实完整，不做假账。加强三公经费管理，严格控制三公经费支出。明确一般性支出的开支范围和标准，严格报账审核。机关公务接待、差旅费严格按消防救援队伍公务接待、差旅费管理办法执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2、遵守财经法规，严格财经纪律，依法接受财政、审计、巡察和社会各界的监督，按时上报各项报表及自查报告。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（一）评价结论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综上所述我大队不管是在资金预算编制方面，还是预算执行、综合管理、整体绩效方面，均按照国家政策法规规定，结合本单位实际情况及相关规定严格执行，并合理安排项目，使财政资金发挥最大的效益，</w:t>
      </w:r>
      <w:r>
        <w:rPr>
          <w:rFonts w:hint="eastAsia" w:ascii="Times New Roman" w:hAnsi="Times New Roman" w:eastAsia="仿宋_GB2312" w:cs="Times New Roman"/>
          <w:sz w:val="32"/>
          <w:szCs w:val="32"/>
        </w:rPr>
        <w:t>完成了部门职能职责，实现了较高的工作效率和支出绩效</w:t>
      </w:r>
      <w:r>
        <w:rPr>
          <w:rFonts w:hint="eastAsia" w:ascii="Times New Roman" w:hAnsi="Times New Roman" w:eastAsia="仿宋_GB2312" w:cs="Times New Roman"/>
          <w:sz w:val="32"/>
          <w:szCs w:val="32"/>
          <w:lang w:val="zh-CN"/>
        </w:rPr>
        <w:t>。所以我大队总体评价为良。</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二</w:t>
      </w:r>
      <w:r>
        <w:rPr>
          <w:rFonts w:hint="eastAsia" w:ascii="方正楷体_GBK" w:hAnsi="方正楷体_GBK" w:eastAsia="方正楷体_GBK" w:cs="方正楷体_GBK"/>
          <w:b w:val="0"/>
          <w:bCs/>
          <w:sz w:val="32"/>
          <w:szCs w:val="32"/>
          <w:lang w:eastAsia="zh-CN"/>
        </w:rPr>
        <w:t>）</w:t>
      </w:r>
      <w:r>
        <w:rPr>
          <w:rFonts w:hint="default" w:ascii="方正楷体_GBK" w:hAnsi="方正楷体_GBK" w:eastAsia="方正楷体_GBK" w:cs="方正楷体_GBK"/>
          <w:b w:val="0"/>
          <w:bCs/>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rPr>
        <w:t>大队的支出管理项目还有待进一步细化和量化，强化机关经费预算管理的刚性约束，项目支出按预算和工作进度执行，进一步规范各项支出。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lang w:val="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zh-CN"/>
        </w:rPr>
        <w:t>绩效目标和指标往往根据项目实际完成情况制定，对项目执行过程有效约束不够，存在一定的偏差。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3.财务工作水平有待提高。从202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zh-CN"/>
        </w:rPr>
        <w:t>年1月1日起执行新的理论会计年度后，财务工作在精度和深度上欠缺，还需要进一步深入学习，提高财务工作水平。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三</w:t>
      </w:r>
      <w:r>
        <w:rPr>
          <w:rFonts w:hint="eastAsia" w:ascii="方正楷体_GBK" w:hAnsi="方正楷体_GBK" w:eastAsia="方正楷体_GBK" w:cs="方正楷体_GBK"/>
          <w:b w:val="0"/>
          <w:bCs/>
          <w:sz w:val="32"/>
          <w:szCs w:val="32"/>
          <w:lang w:eastAsia="zh-CN"/>
        </w:rPr>
        <w:t>）</w:t>
      </w:r>
      <w:r>
        <w:rPr>
          <w:rFonts w:hint="default" w:ascii="方正楷体_GBK" w:hAnsi="方正楷体_GBK" w:eastAsia="方正楷体_GBK" w:cs="方正楷体_GBK"/>
          <w:b w:val="0"/>
          <w:bCs/>
          <w:sz w:val="32"/>
          <w:szCs w:val="32"/>
        </w:rPr>
        <w:t>改进建议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.逐步</w:t>
      </w:r>
      <w:r>
        <w:rPr>
          <w:rFonts w:hint="eastAsia" w:ascii="Times New Roman" w:hAnsi="Times New Roman" w:eastAsia="仿宋_GB2312" w:cs="Times New Roman"/>
          <w:sz w:val="32"/>
          <w:szCs w:val="32"/>
          <w:lang w:val="zh-CN"/>
        </w:rPr>
        <w:t>提高部门预算财政资金使用效益，加强绩效评价管理制度和流程的建设，进一步深化、完善绩效管理体系，建立全过程的预算绩效管理机制，促进绩效管理工作向广度和深度延伸。</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zh-CN"/>
        </w:rPr>
        <w:t>严格按照批复预算执行，加强预算绩效管理，增强预算约束力，做好预算项目支出绩效目标及各项绩效指标的细化、量化工作,用好用活各类财政资金，提高财政资金的使用效益。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 xml:space="preserve"> </w:t>
      </w:r>
    </w:p>
    <w:p>
      <w:pPr>
        <w:pStyle w:val="9"/>
        <w:keepNext w:val="0"/>
        <w:keepLines w:val="0"/>
        <w:pageBreakBefore w:val="0"/>
        <w:kinsoku/>
        <w:wordWrap/>
        <w:overflowPunct/>
        <w:topLinePunct w:val="0"/>
        <w:bidi w:val="0"/>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仿宋_GB2312" w:cs="Times New Roman"/>
          <w:sz w:val="32"/>
          <w:szCs w:val="32"/>
          <w:lang w:val="en-US" w:eastAsia="zh-CN"/>
        </w:rPr>
        <w:t>附件：1.</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年财政资金收入表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2022年财政资金支出表</w:t>
      </w:r>
    </w:p>
    <w:p>
      <w:pPr>
        <w:pStyle w:val="9"/>
        <w:keepNext w:val="0"/>
        <w:keepLines w:val="0"/>
        <w:pageBreakBefore w:val="0"/>
        <w:kinsoku/>
        <w:wordWrap/>
        <w:overflowPunct/>
        <w:topLinePunct w:val="0"/>
        <w:bidi w:val="0"/>
        <w:spacing w:line="578"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3.2022年项目支出绩效目标完成情况表</w:t>
      </w:r>
    </w:p>
    <w:p>
      <w:pPr>
        <w:rPr>
          <w:rFonts w:hint="default"/>
          <w:lang w:val="en-US" w:eastAsia="zh-CN"/>
        </w:rPr>
      </w:pPr>
      <w:r>
        <w:rPr>
          <w:rFonts w:hint="eastAsia" w:ascii="Times New Roman" w:hAnsi="Times New Roman" w:eastAsia="方正仿宋_GBK" w:cs="Times New Roman"/>
          <w:sz w:val="32"/>
          <w:szCs w:val="32"/>
          <w:lang w:val="en-US" w:eastAsia="zh-CN"/>
        </w:rPr>
        <w:t xml:space="preserve">          4.2022年部门支出绩效评价指标体系</w:t>
      </w:r>
    </w:p>
    <w:p>
      <w:pPr>
        <w:pStyle w:val="2"/>
        <w:keepNext w:val="0"/>
        <w:keepLines w:val="0"/>
        <w:pageBreakBefore w:val="0"/>
        <w:numPr>
          <w:ilvl w:val="0"/>
          <w:numId w:val="0"/>
        </w:numPr>
        <w:kinsoku/>
        <w:wordWrap/>
        <w:overflowPunct/>
        <w:topLinePunct w:val="0"/>
        <w:bidi w:val="0"/>
        <w:spacing w:line="578"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jc w:val="right"/>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 xml:space="preserve">  泸县消防救援大队</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jc w:val="right"/>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 xml:space="preserve">   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zh-CN"/>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zh-CN"/>
        </w:rPr>
        <w:t>月</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zh-CN"/>
        </w:rPr>
        <w:t>日</w:t>
      </w:r>
    </w:p>
    <w:p>
      <w:pPr>
        <w:pStyle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tbl>
      <w:tblPr>
        <w:tblStyle w:val="6"/>
        <w:tblW w:w="8349" w:type="dxa"/>
        <w:tblInd w:w="490" w:type="dxa"/>
        <w:tblLayout w:type="fixed"/>
        <w:tblCellMar>
          <w:top w:w="0" w:type="dxa"/>
          <w:left w:w="0" w:type="dxa"/>
          <w:bottom w:w="0" w:type="dxa"/>
          <w:right w:w="0" w:type="dxa"/>
        </w:tblCellMar>
      </w:tblPr>
      <w:tblGrid>
        <w:gridCol w:w="1140"/>
        <w:gridCol w:w="4380"/>
        <w:gridCol w:w="2829"/>
      </w:tblGrid>
      <w:tr>
        <w:tblPrEx>
          <w:tblCellMar>
            <w:top w:w="0" w:type="dxa"/>
            <w:left w:w="0" w:type="dxa"/>
            <w:bottom w:w="0" w:type="dxa"/>
            <w:right w:w="0" w:type="dxa"/>
          </w:tblCellMar>
        </w:tblPrEx>
        <w:trPr>
          <w:trHeight w:val="585" w:hRule="atLeast"/>
        </w:trPr>
        <w:tc>
          <w:tcPr>
            <w:tcW w:w="8349" w:type="dxa"/>
            <w:gridSpan w:val="3"/>
            <w:tcBorders>
              <w:top w:val="nil"/>
              <w:left w:val="nil"/>
              <w:bottom w:val="nil"/>
              <w:right w:val="nil"/>
            </w:tcBorders>
            <w:noWrap/>
            <w:tcMar>
              <w:top w:w="15" w:type="dxa"/>
              <w:left w:w="15" w:type="dxa"/>
              <w:right w:w="15" w:type="dxa"/>
            </w:tcMar>
            <w:vAlign w:val="bottom"/>
          </w:tcPr>
          <w:p>
            <w:pPr>
              <w:widowControl/>
              <w:jc w:val="both"/>
              <w:textAlignment w:val="bottom"/>
              <w:rPr>
                <w:rFonts w:hint="default"/>
              </w:rPr>
            </w:pPr>
          </w:p>
          <w:p>
            <w:pPr>
              <w:widowControl/>
              <w:jc w:val="center"/>
              <w:textAlignment w:val="bottom"/>
              <w:rPr>
                <w:rFonts w:hint="default" w:ascii="方正小标宋_GBK" w:hAnsi="方正小标宋_GBK" w:eastAsia="方正小标宋_GBK" w:cs="方正小标宋_GBK"/>
                <w:color w:val="000000"/>
                <w:kern w:val="0"/>
                <w:sz w:val="44"/>
                <w:szCs w:val="44"/>
              </w:rPr>
            </w:pPr>
            <w:r>
              <w:rPr>
                <w:rFonts w:hint="default" w:ascii="方正小标宋_GBK" w:hAnsi="方正小标宋_GBK" w:eastAsia="方正小标宋_GBK" w:cs="方正小标宋_GBK"/>
                <w:color w:val="000000"/>
                <w:kern w:val="0"/>
                <w:sz w:val="44"/>
                <w:szCs w:val="44"/>
              </w:rPr>
              <w:t>202</w:t>
            </w:r>
            <w:r>
              <w:rPr>
                <w:rFonts w:hint="default" w:ascii="方正小标宋_GBK" w:hAnsi="方正小标宋_GBK" w:eastAsia="方正小标宋_GBK" w:cs="方正小标宋_GBK"/>
                <w:color w:val="000000"/>
                <w:kern w:val="0"/>
                <w:sz w:val="44"/>
                <w:szCs w:val="44"/>
                <w:lang w:val="en-US" w:eastAsia="zh-CN"/>
              </w:rPr>
              <w:t>2</w:t>
            </w:r>
            <w:r>
              <w:rPr>
                <w:rFonts w:hint="default" w:ascii="方正小标宋_GBK" w:hAnsi="方正小标宋_GBK" w:eastAsia="方正小标宋_GBK" w:cs="方正小标宋_GBK"/>
                <w:color w:val="000000"/>
                <w:kern w:val="0"/>
                <w:sz w:val="44"/>
                <w:szCs w:val="44"/>
              </w:rPr>
              <w:t>年财政资金收入表</w:t>
            </w:r>
          </w:p>
          <w:p>
            <w:pPr>
              <w:pStyle w:val="9"/>
              <w:rPr>
                <w:rFonts w:hint="default"/>
              </w:rPr>
            </w:pPr>
          </w:p>
        </w:tc>
      </w:tr>
      <w:tr>
        <w:tblPrEx>
          <w:tblCellMar>
            <w:top w:w="0" w:type="dxa"/>
            <w:left w:w="0" w:type="dxa"/>
            <w:bottom w:w="0" w:type="dxa"/>
            <w:right w:w="0" w:type="dxa"/>
          </w:tblCellMar>
        </w:tblPrEx>
        <w:trPr>
          <w:trHeight w:val="300" w:hRule="atLeast"/>
        </w:trPr>
        <w:tc>
          <w:tcPr>
            <w:tcW w:w="8349" w:type="dxa"/>
            <w:gridSpan w:val="3"/>
            <w:tcBorders>
              <w:top w:val="nil"/>
              <w:left w:val="nil"/>
              <w:bottom w:val="nil"/>
              <w:right w:val="nil"/>
            </w:tcBorders>
            <w:noWrap/>
            <w:tcMar>
              <w:top w:w="15" w:type="dxa"/>
              <w:left w:w="15" w:type="dxa"/>
              <w:right w:w="15" w:type="dxa"/>
            </w:tcMar>
            <w:vAlign w:val="bottom"/>
          </w:tcPr>
          <w:p>
            <w:pPr>
              <w:widowControl/>
              <w:jc w:val="left"/>
              <w:textAlignment w:val="bottom"/>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rPr>
              <w:t>编制单位：四川省泸州市泸县消防救援大队（本级）</w:t>
            </w:r>
          </w:p>
        </w:tc>
      </w:tr>
      <w:tr>
        <w:tblPrEx>
          <w:tblCellMar>
            <w:top w:w="0" w:type="dxa"/>
            <w:left w:w="0" w:type="dxa"/>
            <w:bottom w:w="0" w:type="dxa"/>
            <w:right w:w="0" w:type="dxa"/>
          </w:tblCellMar>
        </w:tblPrEx>
        <w:trPr>
          <w:trHeight w:val="270" w:hRule="atLeast"/>
        </w:trPr>
        <w:tc>
          <w:tcPr>
            <w:tcW w:w="5520"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项目</w:t>
            </w:r>
          </w:p>
        </w:tc>
        <w:tc>
          <w:tcPr>
            <w:tcW w:w="2829" w:type="dxa"/>
            <w:vMerge w:val="restar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本年收入（元）</w:t>
            </w:r>
          </w:p>
        </w:tc>
      </w:tr>
      <w:tr>
        <w:tblPrEx>
          <w:tblCellMar>
            <w:top w:w="0" w:type="dxa"/>
            <w:left w:w="0" w:type="dxa"/>
            <w:bottom w:w="0" w:type="dxa"/>
            <w:right w:w="0" w:type="dxa"/>
          </w:tblCellMar>
        </w:tblPrEx>
        <w:trPr>
          <w:trHeight w:val="435" w:hRule="atLeast"/>
        </w:trPr>
        <w:tc>
          <w:tcPr>
            <w:tcW w:w="1140" w:type="dxa"/>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支出功能分类科目编码</w:t>
            </w:r>
          </w:p>
        </w:tc>
        <w:tc>
          <w:tcPr>
            <w:tcW w:w="4380" w:type="dxa"/>
            <w:vMerge w:val="restart"/>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科目名称</w:t>
            </w:r>
          </w:p>
        </w:tc>
        <w:tc>
          <w:tcPr>
            <w:tcW w:w="2829"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r>
      <w:tr>
        <w:tblPrEx>
          <w:tblCellMar>
            <w:top w:w="0" w:type="dxa"/>
            <w:left w:w="0" w:type="dxa"/>
            <w:bottom w:w="0" w:type="dxa"/>
            <w:right w:w="0" w:type="dxa"/>
          </w:tblCellMar>
        </w:tblPrEx>
        <w:trPr>
          <w:trHeight w:val="435" w:hRule="atLeast"/>
        </w:trPr>
        <w:tc>
          <w:tcPr>
            <w:tcW w:w="1140"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4380" w:type="dxa"/>
            <w:vMerge w:val="continue"/>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2829"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r>
      <w:tr>
        <w:tblPrEx>
          <w:tblCellMar>
            <w:top w:w="0" w:type="dxa"/>
            <w:left w:w="0" w:type="dxa"/>
            <w:bottom w:w="0" w:type="dxa"/>
            <w:right w:w="0" w:type="dxa"/>
          </w:tblCellMar>
        </w:tblPrEx>
        <w:trPr>
          <w:trHeight w:val="435" w:hRule="atLeast"/>
        </w:trPr>
        <w:tc>
          <w:tcPr>
            <w:tcW w:w="1140"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4380" w:type="dxa"/>
            <w:vMerge w:val="continue"/>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2829"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r>
      <w:tr>
        <w:tblPrEx>
          <w:tblCellMar>
            <w:top w:w="0" w:type="dxa"/>
            <w:left w:w="0" w:type="dxa"/>
            <w:bottom w:w="0" w:type="dxa"/>
            <w:right w:w="0" w:type="dxa"/>
          </w:tblCellMar>
        </w:tblPrEx>
        <w:trPr>
          <w:trHeight w:val="27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类款项</w:t>
            </w:r>
          </w:p>
        </w:tc>
        <w:tc>
          <w:tcPr>
            <w:tcW w:w="4380"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栏次</w:t>
            </w:r>
          </w:p>
        </w:tc>
        <w:tc>
          <w:tcPr>
            <w:tcW w:w="282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1</w:t>
            </w:r>
          </w:p>
        </w:tc>
      </w:tr>
      <w:tr>
        <w:tblPrEx>
          <w:tblCellMar>
            <w:top w:w="0" w:type="dxa"/>
            <w:left w:w="0" w:type="dxa"/>
            <w:bottom w:w="0" w:type="dxa"/>
            <w:right w:w="0" w:type="dxa"/>
          </w:tblCellMar>
        </w:tblPrEx>
        <w:trPr>
          <w:trHeight w:val="27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4380"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合计</w:t>
            </w:r>
          </w:p>
        </w:tc>
        <w:tc>
          <w:tcPr>
            <w:tcW w:w="2829"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righ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1</w:t>
            </w:r>
            <w:r>
              <w:rPr>
                <w:rFonts w:hint="default" w:ascii="Times New Roman" w:hAnsi="Times New Roman" w:eastAsia="方正仿宋_GBK" w:cs="Times New Roman"/>
                <w:color w:val="000000"/>
                <w:kern w:val="0"/>
                <w:sz w:val="22"/>
                <w:szCs w:val="22"/>
                <w:lang w:val="en-US" w:eastAsia="zh-CN"/>
              </w:rPr>
              <w:t>65</w:t>
            </w:r>
            <w:r>
              <w:rPr>
                <w:rFonts w:hint="default" w:ascii="Times New Roman" w:hAnsi="Times New Roman" w:eastAsia="方正仿宋_GBK" w:cs="Times New Roman"/>
                <w:color w:val="000000"/>
                <w:kern w:val="0"/>
                <w:sz w:val="22"/>
                <w:szCs w:val="22"/>
              </w:rPr>
              <w:t>3200.00</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2240204</w:t>
            </w:r>
          </w:p>
        </w:tc>
        <w:tc>
          <w:tcPr>
            <w:tcW w:w="43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 xml:space="preserve">  消防应急救援</w:t>
            </w:r>
          </w:p>
        </w:tc>
        <w:tc>
          <w:tcPr>
            <w:tcW w:w="28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1</w:t>
            </w:r>
            <w:r>
              <w:rPr>
                <w:rFonts w:hint="default" w:ascii="Times New Roman" w:hAnsi="Times New Roman" w:eastAsia="方正仿宋_GBK" w:cs="Times New Roman"/>
                <w:color w:val="000000"/>
                <w:kern w:val="0"/>
                <w:sz w:val="22"/>
                <w:szCs w:val="22"/>
                <w:lang w:val="en-US" w:eastAsia="zh-CN"/>
              </w:rPr>
              <w:t>65</w:t>
            </w:r>
            <w:r>
              <w:rPr>
                <w:rFonts w:hint="default" w:ascii="Times New Roman" w:hAnsi="Times New Roman" w:eastAsia="方正仿宋_GBK" w:cs="Times New Roman"/>
                <w:color w:val="000000"/>
                <w:kern w:val="0"/>
                <w:sz w:val="22"/>
                <w:szCs w:val="22"/>
              </w:rPr>
              <w:t>3200.00</w:t>
            </w:r>
          </w:p>
        </w:tc>
      </w:tr>
    </w:tbl>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tbl>
      <w:tblPr>
        <w:tblStyle w:val="6"/>
        <w:tblW w:w="8465" w:type="dxa"/>
        <w:tblInd w:w="425" w:type="dxa"/>
        <w:tblLayout w:type="fixed"/>
        <w:tblCellMar>
          <w:top w:w="0" w:type="dxa"/>
          <w:left w:w="0" w:type="dxa"/>
          <w:bottom w:w="0" w:type="dxa"/>
          <w:right w:w="0" w:type="dxa"/>
        </w:tblCellMar>
      </w:tblPr>
      <w:tblGrid>
        <w:gridCol w:w="1220"/>
        <w:gridCol w:w="4699"/>
        <w:gridCol w:w="2546"/>
      </w:tblGrid>
      <w:tr>
        <w:tblPrEx>
          <w:tblCellMar>
            <w:top w:w="0" w:type="dxa"/>
            <w:left w:w="0" w:type="dxa"/>
            <w:bottom w:w="0" w:type="dxa"/>
            <w:right w:w="0" w:type="dxa"/>
          </w:tblCellMar>
        </w:tblPrEx>
        <w:trPr>
          <w:trHeight w:val="405" w:hRule="atLeast"/>
        </w:trPr>
        <w:tc>
          <w:tcPr>
            <w:tcW w:w="8465" w:type="dxa"/>
            <w:gridSpan w:val="3"/>
            <w:tcBorders>
              <w:top w:val="nil"/>
              <w:left w:val="nil"/>
              <w:bottom w:val="nil"/>
              <w:right w:val="nil"/>
            </w:tcBorders>
            <w:noWrap/>
            <w:tcMar>
              <w:top w:w="15" w:type="dxa"/>
              <w:left w:w="15" w:type="dxa"/>
              <w:right w:w="15" w:type="dxa"/>
            </w:tcMar>
            <w:vAlign w:val="bottom"/>
          </w:tcPr>
          <w:p>
            <w:pPr>
              <w:widowControl/>
              <w:jc w:val="both"/>
              <w:textAlignment w:val="bottom"/>
              <w:rPr>
                <w:rFonts w:hint="default" w:ascii="Times New Roman" w:hAnsi="Times New Roman" w:eastAsia="方正仿宋_GBK" w:cs="Times New Roman"/>
                <w:color w:val="000000"/>
                <w:kern w:val="0"/>
                <w:szCs w:val="32"/>
              </w:rPr>
            </w:pPr>
          </w:p>
          <w:p>
            <w:pPr>
              <w:widowControl/>
              <w:jc w:val="center"/>
              <w:textAlignment w:val="bottom"/>
              <w:rPr>
                <w:rFonts w:hint="default" w:ascii="Times New Roman" w:hAnsi="Times New Roman" w:eastAsia="方正仿宋_GBK" w:cs="Times New Roman"/>
                <w:color w:val="000000"/>
                <w:szCs w:val="32"/>
              </w:rPr>
            </w:pPr>
            <w:r>
              <w:rPr>
                <w:rFonts w:hint="eastAsia" w:ascii="方正小标宋_GBK" w:hAnsi="方正小标宋_GBK" w:eastAsia="方正小标宋_GBK" w:cs="方正小标宋_GBK"/>
                <w:color w:val="000000"/>
                <w:kern w:val="0"/>
                <w:sz w:val="44"/>
                <w:szCs w:val="44"/>
              </w:rPr>
              <w:t>202</w:t>
            </w:r>
            <w:r>
              <w:rPr>
                <w:rFonts w:hint="eastAsia" w:ascii="方正小标宋_GBK" w:hAnsi="方正小标宋_GBK" w:eastAsia="方正小标宋_GBK" w:cs="方正小标宋_GBK"/>
                <w:color w:val="000000"/>
                <w:kern w:val="0"/>
                <w:sz w:val="44"/>
                <w:szCs w:val="44"/>
                <w:lang w:val="en-US" w:eastAsia="zh-CN"/>
              </w:rPr>
              <w:t>2</w:t>
            </w:r>
            <w:r>
              <w:rPr>
                <w:rFonts w:hint="eastAsia" w:ascii="方正小标宋_GBK" w:hAnsi="方正小标宋_GBK" w:eastAsia="方正小标宋_GBK" w:cs="方正小标宋_GBK"/>
                <w:color w:val="000000"/>
                <w:kern w:val="0"/>
                <w:sz w:val="44"/>
                <w:szCs w:val="44"/>
              </w:rPr>
              <w:t>年财政资金支出表</w:t>
            </w:r>
          </w:p>
        </w:tc>
      </w:tr>
      <w:tr>
        <w:tblPrEx>
          <w:tblCellMar>
            <w:top w:w="0" w:type="dxa"/>
            <w:left w:w="0" w:type="dxa"/>
            <w:bottom w:w="0" w:type="dxa"/>
            <w:right w:w="0" w:type="dxa"/>
          </w:tblCellMar>
        </w:tblPrEx>
        <w:trPr>
          <w:trHeight w:val="300" w:hRule="atLeast"/>
        </w:trPr>
        <w:tc>
          <w:tcPr>
            <w:tcW w:w="8465" w:type="dxa"/>
            <w:gridSpan w:val="3"/>
            <w:tcBorders>
              <w:top w:val="nil"/>
              <w:left w:val="nil"/>
              <w:bottom w:val="nil"/>
              <w:right w:val="nil"/>
            </w:tcBorders>
            <w:noWrap/>
            <w:tcMar>
              <w:top w:w="15" w:type="dxa"/>
              <w:left w:w="15" w:type="dxa"/>
              <w:right w:w="15" w:type="dxa"/>
            </w:tcMar>
            <w:vAlign w:val="bottom"/>
          </w:tcPr>
          <w:p>
            <w:pPr>
              <w:widowControl/>
              <w:jc w:val="left"/>
              <w:textAlignment w:val="bottom"/>
              <w:rPr>
                <w:rFonts w:hint="default" w:ascii="Times New Roman" w:hAnsi="Times New Roman" w:eastAsia="方正仿宋_GBK" w:cs="Times New Roman"/>
                <w:color w:val="000000"/>
                <w:kern w:val="0"/>
                <w:sz w:val="24"/>
              </w:rPr>
            </w:pPr>
          </w:p>
          <w:p>
            <w:pPr>
              <w:widowControl/>
              <w:jc w:val="left"/>
              <w:textAlignment w:val="bottom"/>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rPr>
              <w:t>编制单位：四川省泸州市泸县消防救援大队（本级）</w:t>
            </w:r>
          </w:p>
        </w:tc>
      </w:tr>
      <w:tr>
        <w:tblPrEx>
          <w:tblCellMar>
            <w:top w:w="0" w:type="dxa"/>
            <w:left w:w="0" w:type="dxa"/>
            <w:bottom w:w="0" w:type="dxa"/>
            <w:right w:w="0" w:type="dxa"/>
          </w:tblCellMar>
        </w:tblPrEx>
        <w:trPr>
          <w:trHeight w:val="270" w:hRule="atLeast"/>
        </w:trPr>
        <w:tc>
          <w:tcPr>
            <w:tcW w:w="5919"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项目</w:t>
            </w:r>
          </w:p>
        </w:tc>
        <w:tc>
          <w:tcPr>
            <w:tcW w:w="2546" w:type="dxa"/>
            <w:vMerge w:val="restar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本年支出（元）</w:t>
            </w:r>
          </w:p>
        </w:tc>
      </w:tr>
      <w:tr>
        <w:tblPrEx>
          <w:tblCellMar>
            <w:top w:w="0" w:type="dxa"/>
            <w:left w:w="0" w:type="dxa"/>
            <w:bottom w:w="0" w:type="dxa"/>
            <w:right w:w="0" w:type="dxa"/>
          </w:tblCellMar>
        </w:tblPrEx>
        <w:trPr>
          <w:trHeight w:val="435" w:hRule="atLeast"/>
        </w:trPr>
        <w:tc>
          <w:tcPr>
            <w:tcW w:w="1220" w:type="dxa"/>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支出功能分类科目编码</w:t>
            </w:r>
          </w:p>
        </w:tc>
        <w:tc>
          <w:tcPr>
            <w:tcW w:w="4699" w:type="dxa"/>
            <w:vMerge w:val="restart"/>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科目名称</w:t>
            </w:r>
          </w:p>
        </w:tc>
        <w:tc>
          <w:tcPr>
            <w:tcW w:w="2546"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r>
      <w:tr>
        <w:tblPrEx>
          <w:tblCellMar>
            <w:top w:w="0" w:type="dxa"/>
            <w:left w:w="0" w:type="dxa"/>
            <w:bottom w:w="0" w:type="dxa"/>
            <w:right w:w="0"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4699" w:type="dxa"/>
            <w:vMerge w:val="continue"/>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2546"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r>
      <w:tr>
        <w:tblPrEx>
          <w:tblCellMar>
            <w:top w:w="0" w:type="dxa"/>
            <w:left w:w="0" w:type="dxa"/>
            <w:bottom w:w="0" w:type="dxa"/>
            <w:right w:w="0"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4699" w:type="dxa"/>
            <w:vMerge w:val="continue"/>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2546"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r>
      <w:tr>
        <w:tblPrEx>
          <w:tblCellMar>
            <w:top w:w="0" w:type="dxa"/>
            <w:left w:w="0" w:type="dxa"/>
            <w:bottom w:w="0" w:type="dxa"/>
            <w:right w:w="0"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类款项</w:t>
            </w:r>
          </w:p>
        </w:tc>
        <w:tc>
          <w:tcPr>
            <w:tcW w:w="4699"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栏次</w:t>
            </w:r>
          </w:p>
        </w:tc>
        <w:tc>
          <w:tcPr>
            <w:tcW w:w="2546"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1</w:t>
            </w:r>
          </w:p>
        </w:tc>
      </w:tr>
      <w:tr>
        <w:tblPrEx>
          <w:tblCellMar>
            <w:top w:w="0" w:type="dxa"/>
            <w:left w:w="0" w:type="dxa"/>
            <w:bottom w:w="0" w:type="dxa"/>
            <w:right w:w="0"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default" w:ascii="Times New Roman" w:hAnsi="Times New Roman" w:eastAsia="方正仿宋_GBK" w:cs="Times New Roman"/>
                <w:color w:val="000000"/>
                <w:sz w:val="22"/>
                <w:szCs w:val="22"/>
              </w:rPr>
            </w:pPr>
          </w:p>
        </w:tc>
        <w:tc>
          <w:tcPr>
            <w:tcW w:w="4699"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合计</w:t>
            </w:r>
          </w:p>
        </w:tc>
        <w:tc>
          <w:tcPr>
            <w:tcW w:w="2546"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righ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1</w:t>
            </w:r>
            <w:r>
              <w:rPr>
                <w:rFonts w:hint="default" w:ascii="Times New Roman" w:hAnsi="Times New Roman" w:eastAsia="方正仿宋_GBK" w:cs="Times New Roman"/>
                <w:color w:val="000000"/>
                <w:kern w:val="0"/>
                <w:sz w:val="22"/>
                <w:szCs w:val="22"/>
                <w:lang w:val="en-US" w:eastAsia="zh-CN"/>
              </w:rPr>
              <w:t>65</w:t>
            </w:r>
            <w:r>
              <w:rPr>
                <w:rFonts w:hint="default" w:ascii="Times New Roman" w:hAnsi="Times New Roman" w:eastAsia="方正仿宋_GBK" w:cs="Times New Roman"/>
                <w:color w:val="000000"/>
                <w:kern w:val="0"/>
                <w:sz w:val="22"/>
                <w:szCs w:val="22"/>
              </w:rPr>
              <w:t>3200.00</w:t>
            </w:r>
          </w:p>
        </w:tc>
      </w:tr>
      <w:tr>
        <w:tblPrEx>
          <w:tblCellMar>
            <w:top w:w="0" w:type="dxa"/>
            <w:left w:w="0" w:type="dxa"/>
            <w:bottom w:w="0" w:type="dxa"/>
            <w:right w:w="0" w:type="dxa"/>
          </w:tblCellMar>
        </w:tblPrEx>
        <w:trPr>
          <w:trHeight w:val="270" w:hRule="atLeast"/>
        </w:trPr>
        <w:tc>
          <w:tcPr>
            <w:tcW w:w="12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2240204</w:t>
            </w:r>
          </w:p>
        </w:tc>
        <w:tc>
          <w:tcPr>
            <w:tcW w:w="46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 xml:space="preserve">  消防应急救援</w:t>
            </w:r>
          </w:p>
        </w:tc>
        <w:tc>
          <w:tcPr>
            <w:tcW w:w="25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1</w:t>
            </w:r>
            <w:r>
              <w:rPr>
                <w:rFonts w:hint="default" w:ascii="Times New Roman" w:hAnsi="Times New Roman" w:eastAsia="方正仿宋_GBK" w:cs="Times New Roman"/>
                <w:color w:val="000000"/>
                <w:kern w:val="0"/>
                <w:sz w:val="22"/>
                <w:szCs w:val="22"/>
                <w:lang w:val="en-US" w:eastAsia="zh-CN"/>
              </w:rPr>
              <w:t>65</w:t>
            </w:r>
            <w:r>
              <w:rPr>
                <w:rFonts w:hint="default" w:ascii="Times New Roman" w:hAnsi="Times New Roman" w:eastAsia="方正仿宋_GBK" w:cs="Times New Roman"/>
                <w:color w:val="000000"/>
                <w:kern w:val="0"/>
                <w:sz w:val="22"/>
                <w:szCs w:val="22"/>
              </w:rPr>
              <w:t>3200.00</w:t>
            </w:r>
          </w:p>
        </w:tc>
      </w:tr>
    </w:tbl>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sectPr>
          <w:headerReference r:id="rId3" w:type="default"/>
          <w:footerReference r:id="rId4" w:type="default"/>
          <w:pgSz w:w="11906" w:h="16838"/>
          <w:pgMar w:top="2098" w:right="1474" w:bottom="1984" w:left="1587" w:header="851" w:footer="992" w:gutter="0"/>
          <w:pgNumType w:fmt="numberInDash" w:start="1"/>
          <w:cols w:space="720" w:num="1"/>
          <w:docGrid w:type="lines" w:linePitch="435" w:charSpace="0"/>
        </w:sectPr>
      </w:pPr>
    </w:p>
    <w:tbl>
      <w:tblPr>
        <w:tblStyle w:val="6"/>
        <w:tblW w:w="13753" w:type="dxa"/>
        <w:tblInd w:w="0" w:type="dxa"/>
        <w:tblLayout w:type="fixed"/>
        <w:tblCellMar>
          <w:top w:w="0" w:type="dxa"/>
          <w:left w:w="0" w:type="dxa"/>
          <w:bottom w:w="0" w:type="dxa"/>
          <w:right w:w="0" w:type="dxa"/>
        </w:tblCellMar>
      </w:tblPr>
      <w:tblGrid>
        <w:gridCol w:w="568"/>
        <w:gridCol w:w="753"/>
        <w:gridCol w:w="1018"/>
        <w:gridCol w:w="2397"/>
        <w:gridCol w:w="2603"/>
        <w:gridCol w:w="1948"/>
        <w:gridCol w:w="897"/>
        <w:gridCol w:w="1379"/>
        <w:gridCol w:w="2190"/>
      </w:tblGrid>
      <w:tr>
        <w:tblPrEx>
          <w:tblCellMar>
            <w:top w:w="0" w:type="dxa"/>
            <w:left w:w="0" w:type="dxa"/>
            <w:bottom w:w="0" w:type="dxa"/>
            <w:right w:w="0" w:type="dxa"/>
          </w:tblCellMar>
        </w:tblPrEx>
        <w:trPr>
          <w:trHeight w:val="600" w:hRule="atLeast"/>
        </w:trPr>
        <w:tc>
          <w:tcPr>
            <w:tcW w:w="11563" w:type="dxa"/>
            <w:gridSpan w:val="8"/>
            <w:tcBorders>
              <w:top w:val="nil"/>
              <w:left w:val="nil"/>
              <w:bottom w:val="nil"/>
              <w:right w:val="nil"/>
            </w:tcBorders>
            <w:noWrap/>
            <w:tcMar>
              <w:top w:w="15" w:type="dxa"/>
              <w:left w:w="15" w:type="dxa"/>
              <w:right w:w="15" w:type="dxa"/>
            </w:tcMar>
            <w:vAlign w:val="center"/>
          </w:tcPr>
          <w:p>
            <w:pPr>
              <w:widowControl/>
              <w:jc w:val="both"/>
              <w:textAlignment w:val="center"/>
              <w:rPr>
                <w:rFonts w:hint="eastAsia" w:ascii="方正黑体_GBK" w:hAnsi="方正黑体_GBK" w:eastAsia="方正黑体_GBK" w:cs="方正黑体_GBK"/>
                <w:b w:val="0"/>
                <w:bCs/>
                <w:color w:val="000000" w:themeColor="text1"/>
                <w:kern w:val="0"/>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highlight w:val="none"/>
                <w:lang w:val="en-US" w:eastAsia="zh-CN"/>
                <w14:textFill>
                  <w14:solidFill>
                    <w14:schemeClr w14:val="tx1"/>
                  </w14:solidFill>
                </w14:textFill>
              </w:rPr>
              <w:t>附件3</w:t>
            </w:r>
          </w:p>
          <w:p>
            <w:pPr>
              <w:widowControl/>
              <w:jc w:val="center"/>
              <w:textAlignment w:val="center"/>
              <w:rPr>
                <w:rFonts w:ascii="宋体" w:hAnsi="宋体" w:eastAsia="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kern w:val="0"/>
                <w:sz w:val="40"/>
                <w:szCs w:val="40"/>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kern w:val="0"/>
                <w:sz w:val="40"/>
                <w:szCs w:val="40"/>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kern w:val="0"/>
                <w:sz w:val="40"/>
                <w:szCs w:val="40"/>
                <w:highlight w:val="none"/>
                <w14:textFill>
                  <w14:solidFill>
                    <w14:schemeClr w14:val="tx1"/>
                  </w14:solidFill>
                </w14:textFill>
              </w:rPr>
              <w:t>202</w:t>
            </w:r>
            <w:r>
              <w:rPr>
                <w:rFonts w:hint="eastAsia" w:ascii="方正小标宋_GBK" w:hAnsi="方正小标宋_GBK" w:eastAsia="方正小标宋_GBK" w:cs="方正小标宋_GBK"/>
                <w:b w:val="0"/>
                <w:bCs/>
                <w:color w:val="000000" w:themeColor="text1"/>
                <w:kern w:val="0"/>
                <w:sz w:val="40"/>
                <w:szCs w:val="40"/>
                <w:highlight w:val="none"/>
                <w:lang w:val="en-US" w:eastAsia="zh-CN"/>
                <w14:textFill>
                  <w14:solidFill>
                    <w14:schemeClr w14:val="tx1"/>
                  </w14:solidFill>
                </w14:textFill>
              </w:rPr>
              <w:t>2</w:t>
            </w:r>
            <w:r>
              <w:rPr>
                <w:rFonts w:hint="eastAsia" w:ascii="方正小标宋_GBK" w:hAnsi="方正小标宋_GBK" w:eastAsia="方正小标宋_GBK" w:cs="方正小标宋_GBK"/>
                <w:b w:val="0"/>
                <w:bCs/>
                <w:color w:val="000000" w:themeColor="text1"/>
                <w:kern w:val="0"/>
                <w:sz w:val="40"/>
                <w:szCs w:val="40"/>
                <w:highlight w:val="none"/>
                <w14:textFill>
                  <w14:solidFill>
                    <w14:schemeClr w14:val="tx1"/>
                  </w14:solidFill>
                </w14:textFill>
              </w:rPr>
              <w:t>年项目支出绩效目标完成情况表</w:t>
            </w:r>
          </w:p>
        </w:tc>
        <w:tc>
          <w:tcPr>
            <w:tcW w:w="2190"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736"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单位:泸县消防救援大队</w:t>
            </w:r>
          </w:p>
        </w:tc>
        <w:tc>
          <w:tcPr>
            <w:tcW w:w="2603" w:type="dxa"/>
            <w:tcBorders>
              <w:top w:val="nil"/>
              <w:left w:val="nil"/>
              <w:bottom w:val="single" w:color="000000" w:sz="4" w:space="0"/>
              <w:right w:val="nil"/>
            </w:tcBorders>
            <w:shd w:val="clear" w:color="auto" w:fill="FFFFFF"/>
            <w:noWrap/>
            <w:tcMar>
              <w:top w:w="15" w:type="dxa"/>
              <w:left w:w="15" w:type="dxa"/>
              <w:right w:w="15" w:type="dxa"/>
            </w:tcMar>
            <w:vAlign w:val="center"/>
          </w:tcPr>
          <w:p>
            <w:pPr>
              <w:rPr>
                <w:rFonts w:ascii="宋体" w:hAnsi="宋体" w:eastAsia="宋体" w:cs="宋体"/>
                <w:color w:val="000000" w:themeColor="text1"/>
                <w:sz w:val="28"/>
                <w:szCs w:val="28"/>
                <w:highlight w:val="none"/>
                <w14:textFill>
                  <w14:solidFill>
                    <w14:schemeClr w14:val="tx1"/>
                  </w14:solidFill>
                </w14:textFill>
              </w:rPr>
            </w:pPr>
          </w:p>
        </w:tc>
        <w:tc>
          <w:tcPr>
            <w:tcW w:w="1948" w:type="dxa"/>
            <w:tcBorders>
              <w:top w:val="nil"/>
              <w:left w:val="nil"/>
              <w:bottom w:val="single" w:color="000000" w:sz="4" w:space="0"/>
              <w:right w:val="nil"/>
            </w:tcBorders>
            <w:shd w:val="clear" w:color="auto" w:fill="FFFFFF"/>
            <w:noWrap/>
            <w:tcMar>
              <w:top w:w="15" w:type="dxa"/>
              <w:left w:w="15" w:type="dxa"/>
              <w:right w:w="15" w:type="dxa"/>
            </w:tcMar>
            <w:vAlign w:val="center"/>
          </w:tcPr>
          <w:p>
            <w:pPr>
              <w:rPr>
                <w:rFonts w:ascii="宋体" w:hAnsi="宋体" w:eastAsia="宋体" w:cs="宋体"/>
                <w:color w:val="000000" w:themeColor="text1"/>
                <w:sz w:val="28"/>
                <w:szCs w:val="28"/>
                <w:highlight w:val="none"/>
                <w14:textFill>
                  <w14:solidFill>
                    <w14:schemeClr w14:val="tx1"/>
                  </w14:solidFill>
                </w14:textFill>
              </w:rPr>
            </w:pPr>
          </w:p>
        </w:tc>
        <w:tc>
          <w:tcPr>
            <w:tcW w:w="897" w:type="dxa"/>
            <w:tcBorders>
              <w:top w:val="nil"/>
              <w:left w:val="nil"/>
              <w:bottom w:val="single" w:color="000000" w:sz="4" w:space="0"/>
              <w:right w:val="nil"/>
            </w:tcBorders>
            <w:shd w:val="clear" w:color="auto" w:fill="FFFFFF"/>
            <w:noWrap/>
            <w:tcMar>
              <w:top w:w="15" w:type="dxa"/>
              <w:left w:w="15" w:type="dxa"/>
              <w:right w:w="15" w:type="dxa"/>
            </w:tcMar>
            <w:vAlign w:val="center"/>
          </w:tcPr>
          <w:p>
            <w:pPr>
              <w:rPr>
                <w:rFonts w:ascii="宋体" w:hAnsi="宋体" w:eastAsia="宋体" w:cs="宋体"/>
                <w:color w:val="000000" w:themeColor="text1"/>
                <w:sz w:val="28"/>
                <w:szCs w:val="28"/>
                <w:highlight w:val="none"/>
                <w14:textFill>
                  <w14:solidFill>
                    <w14:schemeClr w14:val="tx1"/>
                  </w14:solidFill>
                </w14:textFill>
              </w:rPr>
            </w:pPr>
          </w:p>
        </w:tc>
        <w:tc>
          <w:tcPr>
            <w:tcW w:w="1379" w:type="dxa"/>
            <w:tcBorders>
              <w:top w:val="nil"/>
              <w:left w:val="nil"/>
              <w:bottom w:val="single" w:color="000000" w:sz="4" w:space="0"/>
              <w:right w:val="nil"/>
            </w:tcBorders>
            <w:shd w:val="clear" w:color="auto" w:fill="FFFFFF"/>
            <w:noWrap/>
            <w:tcMar>
              <w:top w:w="15" w:type="dxa"/>
              <w:left w:w="15" w:type="dxa"/>
              <w:right w:w="15" w:type="dxa"/>
            </w:tcMar>
            <w:vAlign w:val="center"/>
          </w:tcPr>
          <w:p>
            <w:pPr>
              <w:rPr>
                <w:rFonts w:ascii="宋体" w:hAnsi="宋体" w:eastAsia="宋体" w:cs="宋体"/>
                <w:color w:val="000000" w:themeColor="text1"/>
                <w:sz w:val="28"/>
                <w:szCs w:val="28"/>
                <w:highlight w:val="none"/>
                <w14:textFill>
                  <w14:solidFill>
                    <w14:schemeClr w14:val="tx1"/>
                  </w14:solidFill>
                </w14:textFill>
              </w:rPr>
            </w:pPr>
          </w:p>
        </w:tc>
        <w:tc>
          <w:tcPr>
            <w:tcW w:w="2190" w:type="dxa"/>
            <w:tcBorders>
              <w:top w:val="nil"/>
              <w:left w:val="nil"/>
              <w:bottom w:val="single" w:color="000000" w:sz="4" w:space="0"/>
              <w:right w:val="nil"/>
            </w:tcBorders>
            <w:shd w:val="clear" w:color="auto" w:fill="FFFFFF"/>
            <w:noWrap/>
            <w:tcMar>
              <w:top w:w="15" w:type="dxa"/>
              <w:left w:w="15" w:type="dxa"/>
              <w:right w:w="15" w:type="dxa"/>
            </w:tcMar>
            <w:vAlign w:val="center"/>
          </w:tcPr>
          <w:p>
            <w:pPr>
              <w:rPr>
                <w:rFonts w:ascii="宋体" w:hAnsi="宋体" w:eastAsia="宋体" w:cs="宋体"/>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排序序号</w:t>
            </w:r>
          </w:p>
        </w:tc>
        <w:tc>
          <w:tcPr>
            <w:tcW w:w="75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项目名称</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年度资金预算总额（元）</w:t>
            </w:r>
          </w:p>
        </w:tc>
        <w:tc>
          <w:tcPr>
            <w:tcW w:w="2397"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年度目标</w:t>
            </w:r>
          </w:p>
        </w:tc>
        <w:tc>
          <w:tcPr>
            <w:tcW w:w="9017"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绩效指标完成情况</w:t>
            </w:r>
          </w:p>
        </w:tc>
      </w:tr>
      <w:tr>
        <w:tblPrEx>
          <w:tblCellMar>
            <w:top w:w="0" w:type="dxa"/>
            <w:left w:w="0" w:type="dxa"/>
            <w:bottom w:w="0" w:type="dxa"/>
            <w:right w:w="0" w:type="dxa"/>
          </w:tblCellMar>
        </w:tblPrEx>
        <w:trPr>
          <w:trHeight w:val="43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75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2397"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2603"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数量指标</w:t>
            </w:r>
          </w:p>
        </w:tc>
        <w:tc>
          <w:tcPr>
            <w:tcW w:w="1948"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质量指标</w:t>
            </w:r>
          </w:p>
        </w:tc>
        <w:tc>
          <w:tcPr>
            <w:tcW w:w="897"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时效指标</w:t>
            </w:r>
          </w:p>
        </w:tc>
        <w:tc>
          <w:tcPr>
            <w:tcW w:w="1379"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成本指标（元）</w:t>
            </w:r>
          </w:p>
        </w:tc>
        <w:tc>
          <w:tcPr>
            <w:tcW w:w="21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服务对象满意度指标</w:t>
            </w:r>
          </w:p>
        </w:tc>
      </w:tr>
      <w:tr>
        <w:tblPrEx>
          <w:tblCellMar>
            <w:top w:w="0" w:type="dxa"/>
            <w:left w:w="0" w:type="dxa"/>
            <w:bottom w:w="0" w:type="dxa"/>
            <w:right w:w="0" w:type="dxa"/>
          </w:tblCellMar>
        </w:tblPrEx>
        <w:trPr>
          <w:trHeight w:val="51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75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2397"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2603"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948"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897"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1379"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c>
          <w:tcPr>
            <w:tcW w:w="21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themeColor="text1"/>
                <w:sz w:val="16"/>
                <w:szCs w:val="16"/>
                <w:highlight w:val="none"/>
                <w14:textFill>
                  <w14:solidFill>
                    <w14:schemeClr w14:val="tx1"/>
                  </w14:solidFill>
                </w14:textFill>
              </w:rPr>
            </w:pPr>
          </w:p>
        </w:tc>
      </w:tr>
      <w:tr>
        <w:tblPrEx>
          <w:tblCellMar>
            <w:top w:w="0" w:type="dxa"/>
            <w:left w:w="0" w:type="dxa"/>
            <w:bottom w:w="0" w:type="dxa"/>
            <w:right w:w="0" w:type="dxa"/>
          </w:tblCellMar>
        </w:tblPrEx>
        <w:trPr>
          <w:trHeight w:val="1185"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1</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消防宣传资料制作</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100000.00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保障城区街道及19个镇消防宣传工作开展</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全年共发放消防宣传资料4万余份，制作宣传知识展板350余块</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保障消防知识入户，确保消防安全之人普及度达95%以上</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100000.00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抽样调查满意度达95%及以上</w:t>
            </w:r>
          </w:p>
        </w:tc>
      </w:tr>
      <w:tr>
        <w:tblPrEx>
          <w:tblCellMar>
            <w:top w:w="0" w:type="dxa"/>
            <w:left w:w="0" w:type="dxa"/>
            <w:bottom w:w="0" w:type="dxa"/>
            <w:right w:w="0" w:type="dxa"/>
          </w:tblCellMar>
        </w:tblPrEx>
        <w:trPr>
          <w:trHeight w:val="1050"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2</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法律咨询专员经费</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16"/>
                <w:szCs w:val="16"/>
                <w:highlight w:val="none"/>
                <w:lang w:val="en-US" w:eastAsia="zh-CN"/>
              </w:rPr>
            </w:pPr>
            <w:r>
              <w:rPr>
                <w:rFonts w:hint="eastAsia" w:ascii="宋体" w:hAnsi="宋体" w:eastAsia="宋体" w:cs="宋体"/>
                <w:color w:val="auto"/>
                <w:kern w:val="0"/>
                <w:sz w:val="16"/>
                <w:szCs w:val="16"/>
                <w:highlight w:val="none"/>
              </w:rPr>
              <w:t>保障</w:t>
            </w:r>
            <w:r>
              <w:rPr>
                <w:rFonts w:hint="eastAsia" w:ascii="宋体" w:hAnsi="宋体" w:cs="宋体"/>
                <w:color w:val="auto"/>
                <w:kern w:val="0"/>
                <w:sz w:val="16"/>
                <w:szCs w:val="16"/>
                <w:highlight w:val="none"/>
                <w:lang w:eastAsia="zh-CN"/>
              </w:rPr>
              <w:t>执法办案</w:t>
            </w:r>
            <w:r>
              <w:rPr>
                <w:rFonts w:hint="eastAsia" w:ascii="宋体" w:hAnsi="宋体" w:cs="宋体"/>
                <w:color w:val="auto"/>
                <w:kern w:val="0"/>
                <w:sz w:val="16"/>
                <w:szCs w:val="16"/>
                <w:highlight w:val="none"/>
                <w:lang w:val="en-US" w:eastAsia="zh-CN"/>
              </w:rPr>
              <w:t>工作中必要的法律援助，为大队执法办案提供充足的法律保障</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法制保障中心律师服务费全年39000元/年，资料费6000元，差旅费5000元，由泸州市支队统一招投标，各区县自主配置法律专员</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color w:val="auto"/>
                <w:sz w:val="16"/>
                <w:szCs w:val="16"/>
                <w:highlight w:val="none"/>
                <w:lang w:val="en-US"/>
              </w:rPr>
            </w:pPr>
            <w:r>
              <w:rPr>
                <w:rFonts w:hint="eastAsia" w:ascii="宋体" w:hAnsi="宋体" w:cs="宋体"/>
                <w:color w:val="auto"/>
                <w:kern w:val="0"/>
                <w:sz w:val="16"/>
                <w:szCs w:val="16"/>
                <w:highlight w:val="none"/>
                <w:lang w:val="en-US" w:eastAsia="zh-CN"/>
              </w:rPr>
              <w:t>为大队执法办案提供充足的法律保障，提升执法办案能力。</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cs="宋体"/>
                <w:color w:val="auto"/>
                <w:sz w:val="16"/>
                <w:szCs w:val="16"/>
                <w:highlight w:val="none"/>
                <w:lang w:val="en-US" w:eastAsia="zh-CN"/>
              </w:rPr>
              <w:t>5</w:t>
            </w:r>
            <w:r>
              <w:rPr>
                <w:rFonts w:hint="eastAsia" w:ascii="宋体" w:hAnsi="宋体" w:eastAsia="宋体" w:cs="宋体"/>
                <w:color w:val="auto"/>
                <w:sz w:val="16"/>
                <w:szCs w:val="16"/>
                <w:highlight w:val="none"/>
              </w:rPr>
              <w:t>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服务对象满意度达95%以上</w:t>
            </w:r>
          </w:p>
        </w:tc>
      </w:tr>
      <w:tr>
        <w:tblPrEx>
          <w:tblCellMar>
            <w:top w:w="0" w:type="dxa"/>
            <w:left w:w="0" w:type="dxa"/>
            <w:bottom w:w="0" w:type="dxa"/>
            <w:right w:w="0" w:type="dxa"/>
          </w:tblCellMar>
        </w:tblPrEx>
        <w:trPr>
          <w:trHeight w:val="1530"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3</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被装购置</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cs="宋体"/>
                <w:color w:val="auto"/>
                <w:kern w:val="0"/>
                <w:sz w:val="16"/>
                <w:szCs w:val="16"/>
                <w:highlight w:val="none"/>
                <w:lang w:val="en-US" w:eastAsia="zh-CN"/>
              </w:rPr>
              <w:t>7</w:t>
            </w:r>
            <w:r>
              <w:rPr>
                <w:rFonts w:hint="eastAsia" w:ascii="宋体" w:hAnsi="宋体" w:eastAsia="宋体" w:cs="宋体"/>
                <w:color w:val="auto"/>
                <w:kern w:val="0"/>
                <w:sz w:val="16"/>
                <w:szCs w:val="16"/>
                <w:highlight w:val="none"/>
              </w:rPr>
              <w:t>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根据消防救援队伍建设标准，保障消防救援队伍外装形象，确保消防救援人员正常冯作。</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20</w:t>
            </w:r>
            <w:r>
              <w:rPr>
                <w:rFonts w:hint="eastAsia" w:ascii="宋体" w:hAnsi="宋体" w:cs="宋体"/>
                <w:color w:val="auto"/>
                <w:kern w:val="0"/>
                <w:sz w:val="16"/>
                <w:szCs w:val="16"/>
                <w:highlight w:val="none"/>
                <w:lang w:val="en-US" w:eastAsia="zh-CN"/>
              </w:rPr>
              <w:t>22</w:t>
            </w:r>
            <w:r>
              <w:rPr>
                <w:rFonts w:hint="eastAsia" w:ascii="宋体" w:hAnsi="宋体" w:eastAsia="宋体" w:cs="宋体"/>
                <w:color w:val="auto"/>
                <w:kern w:val="0"/>
                <w:sz w:val="16"/>
                <w:szCs w:val="16"/>
                <w:highlight w:val="none"/>
              </w:rPr>
              <w:t>年共计购买被装</w:t>
            </w:r>
            <w:r>
              <w:rPr>
                <w:rFonts w:hint="eastAsia" w:ascii="宋体" w:hAnsi="宋体" w:cs="宋体"/>
                <w:color w:val="auto"/>
                <w:kern w:val="0"/>
                <w:sz w:val="16"/>
                <w:szCs w:val="16"/>
                <w:highlight w:val="none"/>
                <w:lang w:val="en-US" w:eastAsia="zh-CN"/>
              </w:rPr>
              <w:t>50</w:t>
            </w:r>
            <w:r>
              <w:rPr>
                <w:rFonts w:hint="eastAsia" w:ascii="宋体" w:hAnsi="宋体" w:eastAsia="宋体" w:cs="宋体"/>
                <w:color w:val="auto"/>
                <w:kern w:val="0"/>
                <w:sz w:val="16"/>
                <w:szCs w:val="16"/>
                <w:highlight w:val="none"/>
              </w:rPr>
              <w:t>套</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增强队伍建设，积极落实三定方案</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cs="宋体"/>
                <w:color w:val="auto"/>
                <w:kern w:val="0"/>
                <w:sz w:val="16"/>
                <w:szCs w:val="16"/>
                <w:highlight w:val="none"/>
                <w:lang w:val="en-US" w:eastAsia="zh-CN"/>
              </w:rPr>
              <w:t>7</w:t>
            </w:r>
            <w:r>
              <w:rPr>
                <w:rFonts w:hint="eastAsia" w:ascii="宋体" w:hAnsi="宋体" w:eastAsia="宋体" w:cs="宋体"/>
                <w:color w:val="auto"/>
                <w:kern w:val="0"/>
                <w:sz w:val="16"/>
                <w:szCs w:val="16"/>
                <w:highlight w:val="none"/>
              </w:rPr>
              <w:t>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消防指战员满意度度达95%以上</w:t>
            </w:r>
          </w:p>
        </w:tc>
      </w:tr>
      <w:tr>
        <w:tblPrEx>
          <w:tblCellMar>
            <w:top w:w="0" w:type="dxa"/>
            <w:left w:w="0" w:type="dxa"/>
            <w:bottom w:w="0" w:type="dxa"/>
            <w:right w:w="0" w:type="dxa"/>
          </w:tblCellMar>
        </w:tblPrEx>
        <w:trPr>
          <w:trHeight w:val="1410"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4</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车辆油料、日常维修、保养</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cs="宋体"/>
                <w:color w:val="auto"/>
                <w:kern w:val="0"/>
                <w:sz w:val="16"/>
                <w:szCs w:val="16"/>
                <w:highlight w:val="none"/>
                <w:lang w:val="en-US" w:eastAsia="zh-CN"/>
              </w:rPr>
              <w:t>8</w:t>
            </w:r>
            <w:r>
              <w:rPr>
                <w:rFonts w:hint="eastAsia" w:ascii="宋体" w:hAnsi="宋体" w:eastAsia="宋体" w:cs="宋体"/>
                <w:color w:val="auto"/>
                <w:kern w:val="0"/>
                <w:sz w:val="16"/>
                <w:szCs w:val="16"/>
                <w:highlight w:val="none"/>
              </w:rPr>
              <w:t>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保障消防执法执勤用车良好运行，增强消防监督检查力度</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全年共监督检查30000余场所，办理行政折法案件200余起。</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有效化解处置突发事件:应急处置突发事件，确保稳定</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cs="宋体"/>
                <w:color w:val="auto"/>
                <w:kern w:val="0"/>
                <w:sz w:val="16"/>
                <w:szCs w:val="16"/>
                <w:highlight w:val="none"/>
                <w:lang w:val="en-US" w:eastAsia="zh-CN"/>
              </w:rPr>
              <w:t>8</w:t>
            </w:r>
            <w:r>
              <w:rPr>
                <w:rFonts w:hint="eastAsia" w:ascii="宋体" w:hAnsi="宋体" w:eastAsia="宋体" w:cs="宋体"/>
                <w:color w:val="auto"/>
                <w:kern w:val="0"/>
                <w:sz w:val="16"/>
                <w:szCs w:val="16"/>
                <w:highlight w:val="none"/>
              </w:rPr>
              <w:t>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服务对象满意度达95%以上</w:t>
            </w:r>
          </w:p>
        </w:tc>
      </w:tr>
      <w:tr>
        <w:tblPrEx>
          <w:tblCellMar>
            <w:top w:w="0" w:type="dxa"/>
            <w:left w:w="0" w:type="dxa"/>
            <w:bottom w:w="0" w:type="dxa"/>
            <w:right w:w="0" w:type="dxa"/>
          </w:tblCellMar>
        </w:tblPrEx>
        <w:trPr>
          <w:trHeight w:val="1050"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5</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信息化建设经费</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1</w:t>
            </w:r>
            <w:r>
              <w:rPr>
                <w:rFonts w:hint="eastAsia" w:ascii="宋体" w:hAnsi="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保障消防救援指挥系统、信息化系统正常建设开展。</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全年维修维护信息化系统34次</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资金拨付率:100%，信息化系统正常运行推进</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1</w:t>
            </w:r>
            <w:r>
              <w:rPr>
                <w:rFonts w:hint="eastAsia" w:ascii="宋体" w:hAnsi="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抽样调查满意度达95%及以上</w:t>
            </w:r>
          </w:p>
        </w:tc>
      </w:tr>
      <w:tr>
        <w:tblPrEx>
          <w:tblCellMar>
            <w:top w:w="0" w:type="dxa"/>
            <w:left w:w="0" w:type="dxa"/>
            <w:bottom w:w="0" w:type="dxa"/>
            <w:right w:w="0" w:type="dxa"/>
          </w:tblCellMar>
        </w:tblPrEx>
        <w:trPr>
          <w:trHeight w:val="1134"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sz w:val="16"/>
                <w:szCs w:val="16"/>
                <w:highlight w:val="none"/>
                <w:lang w:val="en-US" w:eastAsia="zh-CN"/>
              </w:rPr>
              <w:t>6</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营房维修维护</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sz w:val="16"/>
                <w:szCs w:val="16"/>
                <w:highlight w:val="none"/>
                <w:lang w:val="en-US" w:eastAsia="zh-CN"/>
              </w:rPr>
            </w:pPr>
            <w:r>
              <w:rPr>
                <w:rFonts w:hint="eastAsia" w:ascii="宋体" w:hAnsi="宋体" w:eastAsia="宋体" w:cs="宋体"/>
                <w:color w:val="auto"/>
                <w:kern w:val="0"/>
                <w:sz w:val="16"/>
                <w:szCs w:val="16"/>
                <w:highlight w:val="none"/>
              </w:rPr>
              <w:t>50000</w:t>
            </w:r>
            <w:r>
              <w:rPr>
                <w:rFonts w:hint="eastAsia" w:ascii="宋体" w:hAnsi="宋体" w:cs="宋体"/>
                <w:color w:val="auto"/>
                <w:kern w:val="0"/>
                <w:sz w:val="16"/>
                <w:szCs w:val="16"/>
                <w:highlight w:val="none"/>
                <w:lang w:val="en-US" w:eastAsia="zh-CN"/>
              </w:rPr>
              <w:t>.00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保障营房正常使用，未消防救援人员提供一个良好环境</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服务营房面积:1589平方米</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确保营房正常使用，无安全事故发生。</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50000.00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抽样调查满意度达95%及以上</w:t>
            </w:r>
          </w:p>
        </w:tc>
      </w:tr>
      <w:tr>
        <w:tblPrEx>
          <w:tblCellMar>
            <w:top w:w="0" w:type="dxa"/>
            <w:left w:w="0" w:type="dxa"/>
            <w:bottom w:w="0" w:type="dxa"/>
            <w:right w:w="0" w:type="dxa"/>
          </w:tblCellMar>
        </w:tblPrEx>
        <w:trPr>
          <w:trHeight w:val="1215"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7</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执法办案</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70000.00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保障20</w:t>
            </w:r>
            <w:r>
              <w:rPr>
                <w:rFonts w:hint="eastAsia" w:ascii="宋体" w:hAnsi="宋体" w:cs="宋体"/>
                <w:color w:val="auto"/>
                <w:kern w:val="0"/>
                <w:sz w:val="16"/>
                <w:szCs w:val="16"/>
                <w:highlight w:val="none"/>
                <w:lang w:val="en-US" w:eastAsia="zh-CN"/>
              </w:rPr>
              <w:t>21</w:t>
            </w:r>
            <w:r>
              <w:rPr>
                <w:rFonts w:hint="eastAsia" w:ascii="宋体" w:hAnsi="宋体" w:eastAsia="宋体" w:cs="宋体"/>
                <w:color w:val="auto"/>
                <w:kern w:val="0"/>
                <w:sz w:val="16"/>
                <w:szCs w:val="16"/>
                <w:highlight w:val="none"/>
              </w:rPr>
              <w:t>年火灾防控、火灾调查、灭火救援指挥工作正常开展。</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全年共监督检查30000余场所，办理行政折法案件200余起。</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rPr>
              <w:t>年度火灾调查率：100%</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70000.00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抽样调查满意度达95%及以上</w:t>
            </w:r>
          </w:p>
        </w:tc>
      </w:tr>
      <w:tr>
        <w:tblPrEx>
          <w:tblCellMar>
            <w:top w:w="0" w:type="dxa"/>
            <w:left w:w="0" w:type="dxa"/>
            <w:bottom w:w="0" w:type="dxa"/>
            <w:right w:w="0" w:type="dxa"/>
          </w:tblCellMar>
        </w:tblPrEx>
        <w:trPr>
          <w:trHeight w:val="1215" w:hRule="atLeast"/>
        </w:trPr>
        <w:tc>
          <w:tcPr>
            <w:tcW w:w="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8</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消安委实体化运行</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500000.00</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保证消安委实体化运行工作顺利开展</w:t>
            </w:r>
          </w:p>
        </w:tc>
        <w:tc>
          <w:tcPr>
            <w:tcW w:w="260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eastAsia="zh-CN"/>
              </w:rPr>
              <w:t>日常行政办公经费</w:t>
            </w:r>
            <w:r>
              <w:rPr>
                <w:rFonts w:hint="eastAsia" w:ascii="宋体" w:hAnsi="宋体" w:cs="宋体"/>
                <w:color w:val="auto"/>
                <w:kern w:val="0"/>
                <w:sz w:val="16"/>
                <w:szCs w:val="16"/>
                <w:highlight w:val="none"/>
                <w:lang w:val="en-US" w:eastAsia="zh-CN"/>
              </w:rPr>
              <w:t>5万元，标准化手册和资料4万元，监督考核12万元，专家费8万元</w:t>
            </w:r>
          </w:p>
        </w:tc>
        <w:tc>
          <w:tcPr>
            <w:tcW w:w="19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highlight w:val="none"/>
                <w:lang w:eastAsia="zh-CN"/>
              </w:rPr>
              <w:t>保证消安委实体化运行工作顺利开展</w:t>
            </w:r>
          </w:p>
        </w:tc>
        <w:tc>
          <w:tcPr>
            <w:tcW w:w="89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全年</w:t>
            </w:r>
          </w:p>
        </w:tc>
        <w:tc>
          <w:tcPr>
            <w:tcW w:w="137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500000.00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抽样调查满意度达95%及以上</w:t>
            </w:r>
          </w:p>
        </w:tc>
      </w:tr>
    </w:tbl>
    <w:p>
      <w:pPr>
        <w:widowControl/>
        <w:jc w:val="both"/>
        <w:textAlignment w:val="center"/>
        <w:rPr>
          <w:rFonts w:hint="eastAsia" w:ascii="Times New Roman" w:hAnsi="Times New Roman" w:eastAsia="仿宋_GB2312" w:cs="Times New Roman"/>
          <w:sz w:val="32"/>
          <w:szCs w:val="32"/>
        </w:rPr>
      </w:pPr>
      <w:r>
        <w:rPr>
          <w:rFonts w:hint="eastAsia" w:ascii="方正黑体_GBK" w:hAnsi="方正黑体_GBK" w:eastAsia="方正黑体_GBK" w:cs="方正黑体_GBK"/>
          <w:b w:val="0"/>
          <w:bCs/>
          <w:color w:val="000000" w:themeColor="text1"/>
          <w:kern w:val="0"/>
          <w:sz w:val="32"/>
          <w:szCs w:val="32"/>
          <w:highlight w:val="none"/>
          <w:lang w:val="en-US" w:eastAsia="zh-CN"/>
          <w14:textFill>
            <w14:solidFill>
              <w14:schemeClr w14:val="tx1"/>
            </w14:solidFill>
          </w14:textFill>
        </w:rPr>
        <w:t>附件4</w:t>
      </w:r>
    </w:p>
    <w:tbl>
      <w:tblPr>
        <w:tblStyle w:val="6"/>
        <w:tblW w:w="4997" w:type="pct"/>
        <w:tblInd w:w="0" w:type="dxa"/>
        <w:tblLayout w:type="fixed"/>
        <w:tblCellMar>
          <w:top w:w="0" w:type="dxa"/>
          <w:left w:w="0" w:type="dxa"/>
          <w:bottom w:w="0" w:type="dxa"/>
          <w:right w:w="0" w:type="dxa"/>
        </w:tblCellMar>
      </w:tblPr>
      <w:tblGrid>
        <w:gridCol w:w="1317"/>
        <w:gridCol w:w="1888"/>
        <w:gridCol w:w="1975"/>
        <w:gridCol w:w="3287"/>
        <w:gridCol w:w="4225"/>
        <w:gridCol w:w="1107"/>
      </w:tblGrid>
      <w:tr>
        <w:tblPrEx>
          <w:tblCellMar>
            <w:top w:w="0" w:type="dxa"/>
            <w:left w:w="0" w:type="dxa"/>
            <w:bottom w:w="0" w:type="dxa"/>
            <w:right w:w="0" w:type="dxa"/>
          </w:tblCellMar>
        </w:tblPrEx>
        <w:trPr>
          <w:trHeight w:val="873" w:hRule="atLeast"/>
        </w:trPr>
        <w:tc>
          <w:tcPr>
            <w:tcW w:w="4598" w:type="pct"/>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cs="Times New Roman"/>
                <w:color w:val="000000"/>
                <w:sz w:val="18"/>
                <w:szCs w:val="18"/>
              </w:rPr>
            </w:pPr>
            <w:r>
              <w:rPr>
                <w:rFonts w:hint="default" w:ascii="Times New Roman" w:hAnsi="Times New Roman" w:eastAsia="方正小标宋_GBK" w:cs="Times New Roman"/>
                <w:b w:val="0"/>
                <w:bCs w:val="0"/>
                <w:color w:val="000000"/>
                <w:kern w:val="0"/>
                <w:sz w:val="44"/>
                <w:szCs w:val="44"/>
                <w:lang w:bidi="ar"/>
              </w:rPr>
              <w:t>202</w:t>
            </w:r>
            <w:r>
              <w:rPr>
                <w:rFonts w:hint="eastAsia" w:ascii="Times New Roman" w:hAnsi="Times New Roman" w:eastAsia="方正小标宋_GBK" w:cs="Times New Roman"/>
                <w:b w:val="0"/>
                <w:bCs w:val="0"/>
                <w:color w:val="000000"/>
                <w:kern w:val="0"/>
                <w:sz w:val="44"/>
                <w:szCs w:val="44"/>
                <w:lang w:val="en-US" w:eastAsia="zh-CN" w:bidi="ar"/>
              </w:rPr>
              <w:t>2</w:t>
            </w:r>
            <w:r>
              <w:rPr>
                <w:rFonts w:hint="default" w:ascii="Times New Roman" w:hAnsi="Times New Roman" w:eastAsia="方正小标宋_GBK" w:cs="Times New Roman"/>
                <w:b w:val="0"/>
                <w:bCs w:val="0"/>
                <w:color w:val="000000"/>
                <w:kern w:val="0"/>
                <w:sz w:val="44"/>
                <w:szCs w:val="44"/>
                <w:lang w:bidi="ar"/>
              </w:rPr>
              <w:t>年部门支出绩效评价指标体系</w:t>
            </w:r>
          </w:p>
        </w:tc>
        <w:tc>
          <w:tcPr>
            <w:tcW w:w="401" w:type="pct"/>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方正小标宋_GBK" w:cs="Times New Roman"/>
                <w:b w:val="0"/>
                <w:bCs w:val="0"/>
                <w:color w:val="000000"/>
                <w:kern w:val="0"/>
                <w:sz w:val="44"/>
                <w:szCs w:val="44"/>
                <w:lang w:bidi="ar"/>
              </w:rPr>
            </w:pPr>
          </w:p>
        </w:tc>
      </w:tr>
      <w:tr>
        <w:tblPrEx>
          <w:tblCellMar>
            <w:top w:w="0" w:type="dxa"/>
            <w:left w:w="0" w:type="dxa"/>
            <w:bottom w:w="0" w:type="dxa"/>
            <w:right w:w="0" w:type="dxa"/>
          </w:tblCellMar>
        </w:tblPrEx>
        <w:trPr>
          <w:trHeight w:val="285" w:hRule="atLeast"/>
        </w:trPr>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黑体" w:cs="Times New Roman"/>
                <w:b/>
                <w:bCs/>
                <w:color w:val="000000"/>
                <w:sz w:val="28"/>
                <w:szCs w:val="28"/>
              </w:rPr>
            </w:pPr>
            <w:r>
              <w:rPr>
                <w:rFonts w:hint="default" w:ascii="Times New Roman" w:hAnsi="Times New Roman" w:eastAsia="黑体" w:cs="Times New Roman"/>
                <w:b/>
                <w:bCs/>
                <w:color w:val="000000"/>
                <w:kern w:val="0"/>
                <w:sz w:val="28"/>
                <w:szCs w:val="28"/>
                <w:lang w:bidi="ar"/>
              </w:rPr>
              <w:t>一级指标</w:t>
            </w: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黑体" w:cs="Times New Roman"/>
                <w:b/>
                <w:bCs/>
                <w:color w:val="000000"/>
                <w:sz w:val="28"/>
                <w:szCs w:val="28"/>
              </w:rPr>
            </w:pPr>
            <w:r>
              <w:rPr>
                <w:rFonts w:hint="default" w:ascii="Times New Roman" w:hAnsi="Times New Roman" w:eastAsia="黑体" w:cs="Times New Roman"/>
                <w:b/>
                <w:bCs/>
                <w:color w:val="000000"/>
                <w:kern w:val="0"/>
                <w:sz w:val="28"/>
                <w:szCs w:val="28"/>
                <w:lang w:bidi="ar"/>
              </w:rPr>
              <w:t>二级指标</w:t>
            </w:r>
          </w:p>
        </w:tc>
        <w:tc>
          <w:tcPr>
            <w:tcW w:w="7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黑体" w:cs="Times New Roman"/>
                <w:b/>
                <w:bCs/>
                <w:color w:val="000000"/>
                <w:sz w:val="28"/>
                <w:szCs w:val="28"/>
              </w:rPr>
            </w:pPr>
            <w:r>
              <w:rPr>
                <w:rFonts w:hint="default" w:ascii="Times New Roman" w:hAnsi="Times New Roman" w:eastAsia="黑体" w:cs="Times New Roman"/>
                <w:b/>
                <w:bCs/>
                <w:color w:val="000000"/>
                <w:kern w:val="0"/>
                <w:sz w:val="28"/>
                <w:szCs w:val="28"/>
                <w:lang w:bidi="ar"/>
              </w:rPr>
              <w:t>三级指标</w:t>
            </w:r>
          </w:p>
        </w:tc>
        <w:tc>
          <w:tcPr>
            <w:tcW w:w="11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黑体" w:cs="Times New Roman"/>
                <w:b/>
                <w:bCs/>
                <w:color w:val="000000"/>
                <w:sz w:val="28"/>
                <w:szCs w:val="28"/>
              </w:rPr>
            </w:pPr>
            <w:r>
              <w:rPr>
                <w:rFonts w:hint="default" w:ascii="Times New Roman" w:hAnsi="Times New Roman" w:eastAsia="黑体" w:cs="Times New Roman"/>
                <w:b/>
                <w:bCs/>
                <w:color w:val="000000"/>
                <w:kern w:val="0"/>
                <w:sz w:val="28"/>
                <w:szCs w:val="28"/>
                <w:lang w:bidi="ar"/>
              </w:rPr>
              <w:t>指标解释</w:t>
            </w:r>
          </w:p>
        </w:tc>
        <w:tc>
          <w:tcPr>
            <w:tcW w:w="15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黑体" w:cs="Times New Roman"/>
                <w:b/>
                <w:bCs/>
                <w:color w:val="000000"/>
                <w:sz w:val="28"/>
                <w:szCs w:val="28"/>
              </w:rPr>
            </w:pPr>
            <w:r>
              <w:rPr>
                <w:rFonts w:hint="default" w:ascii="Times New Roman" w:hAnsi="Times New Roman" w:eastAsia="黑体" w:cs="Times New Roman"/>
                <w:b/>
                <w:bCs/>
                <w:color w:val="000000"/>
                <w:kern w:val="0"/>
                <w:sz w:val="28"/>
                <w:szCs w:val="28"/>
                <w:lang w:bidi="ar"/>
              </w:rPr>
              <w:t>计分标准（备注）</w:t>
            </w:r>
          </w:p>
        </w:tc>
        <w:tc>
          <w:tcPr>
            <w:tcW w:w="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黑体" w:cs="Times New Roman"/>
                <w:b/>
                <w:bCs/>
                <w:color w:val="000000"/>
                <w:kern w:val="0"/>
                <w:sz w:val="28"/>
                <w:szCs w:val="28"/>
                <w:lang w:val="en-US" w:eastAsia="zh-CN" w:bidi="ar"/>
              </w:rPr>
            </w:pPr>
            <w:r>
              <w:rPr>
                <w:rFonts w:hint="eastAsia" w:ascii="Times New Roman" w:hAnsi="Times New Roman" w:eastAsia="黑体" w:cs="Times New Roman"/>
                <w:b/>
                <w:bCs/>
                <w:color w:val="000000"/>
                <w:kern w:val="0"/>
                <w:sz w:val="28"/>
                <w:szCs w:val="28"/>
                <w:lang w:val="en-US" w:eastAsia="zh-CN" w:bidi="ar"/>
              </w:rPr>
              <w:t>得分</w:t>
            </w:r>
          </w:p>
        </w:tc>
      </w:tr>
      <w:tr>
        <w:tblPrEx>
          <w:tblCellMar>
            <w:top w:w="0" w:type="dxa"/>
            <w:left w:w="0" w:type="dxa"/>
            <w:bottom w:w="0" w:type="dxa"/>
            <w:right w:w="0" w:type="dxa"/>
          </w:tblCellMar>
        </w:tblPrEx>
        <w:trPr>
          <w:trHeight w:val="54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b/>
                <w:bCs/>
                <w:color w:val="000000"/>
                <w:kern w:val="0"/>
                <w:sz w:val="19"/>
                <w:szCs w:val="19"/>
                <w:lang w:bidi="ar"/>
              </w:rPr>
              <w:t>预算编制（10分）</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报送时效（1分）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基础信息更新（1分）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部门是否按照预算编制通知和有关要求，按时完成基础库、项目库报送工作</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超过规定5个工作日扣0.5分，10个工作日扣1分，以此类推，直至扣完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1</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编制质量（2分）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预算编制准确（1分）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（预算资金总来源-中期评估调整取消资金-预算结余注销资金）÷预算资金总来源*指标分值</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其中：预算资金总来源是指县级年初预算与执行中追加预算（不含当年专款）总和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1</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部门预算审查（1分）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根据人大预工委对预算草案审查结果进行考核</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对预工委审查后提出并确需修改的问题，每个问题扣0.02分，直至扣完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1</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绩效目标（5分）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部门整体绩效目标（2分）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部门整体绩效目标编制完整、合理</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部门整体绩效目标能完整、合理反映部门年度职责履行情况的得分，否则不得分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重点项目绩效目标（3分）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项目绩效目标编制明确、量化</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项目支出绩效目标编制不明确和量化的发现一个扣0.5分，直至扣完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3</w:t>
            </w:r>
          </w:p>
        </w:tc>
      </w:tr>
      <w:tr>
        <w:tblPrEx>
          <w:tblCellMar>
            <w:top w:w="0" w:type="dxa"/>
            <w:left w:w="0" w:type="dxa"/>
            <w:bottom w:w="0" w:type="dxa"/>
            <w:right w:w="0" w:type="dxa"/>
          </w:tblCellMar>
        </w:tblPrEx>
        <w:trPr>
          <w:trHeight w:val="883"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转移支付提前下达（1分）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转移支付提前下达（1分）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按规定提前下达转移支付</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未按规定提前下达转移支付的，按比例进行扣分。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1</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专项转移支付分地区分项目编制（1分）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专项转移支付分地区分项目编制（1分）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按规定分地区分项目编制专项转移支付</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未按规定编制的，按比例进行扣分。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1</w:t>
            </w:r>
          </w:p>
        </w:tc>
      </w:tr>
      <w:tr>
        <w:tblPrEx>
          <w:tblCellMar>
            <w:top w:w="0" w:type="dxa"/>
            <w:left w:w="0" w:type="dxa"/>
            <w:bottom w:w="0" w:type="dxa"/>
            <w:right w:w="0" w:type="dxa"/>
          </w:tblCellMar>
        </w:tblPrEx>
        <w:trPr>
          <w:trHeight w:val="27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b/>
                <w:bCs/>
                <w:color w:val="000000"/>
                <w:kern w:val="0"/>
                <w:sz w:val="19"/>
                <w:szCs w:val="19"/>
                <w:lang w:bidi="ar"/>
              </w:rPr>
              <w:t>预算执行（20分）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执行进度（10分）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财力专项预算分配时限（4分）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按规定及时分配财力专项预算</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按《预算法》规定时限完成分配的考核得分，否则不得分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4</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专款分配合规率（3分）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按《预算法》规定在一个月内分配专款</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（1-未按规定时间在1个月内分配的专款规模÷专款总规模）*指标分值</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3</w:t>
            </w:r>
          </w:p>
        </w:tc>
      </w:tr>
      <w:tr>
        <w:tblPrEx>
          <w:tblCellMar>
            <w:top w:w="0" w:type="dxa"/>
            <w:left w:w="0" w:type="dxa"/>
            <w:bottom w:w="0" w:type="dxa"/>
            <w:right w:w="0" w:type="dxa"/>
          </w:tblCellMar>
        </w:tblPrEx>
        <w:trPr>
          <w:trHeight w:val="27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部门预算执行进度（3分）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部门按要求严格预算执行管理</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部门预算实际列支数÷部门预算总额*指标分值</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3</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预算调整（4分）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执行中期评估（4分）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部门中期评估调整取消资金÷(中期评估调整取消资金+预算结余注销资金）*指标分值</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当中期评估调整取消资金与结余注销资金之和为零时，得满分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4</w:t>
            </w:r>
          </w:p>
        </w:tc>
      </w:tr>
      <w:tr>
        <w:tblPrEx>
          <w:tblCellMar>
            <w:top w:w="0" w:type="dxa"/>
            <w:left w:w="0" w:type="dxa"/>
            <w:bottom w:w="0" w:type="dxa"/>
            <w:right w:w="0" w:type="dxa"/>
          </w:tblCellMar>
        </w:tblPrEx>
        <w:trPr>
          <w:trHeight w:val="27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行政成本（6分）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节能降耗（3分）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严格执行节能降耗</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根据机关事务管理局节能考核换算得分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3</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三公经费（3分）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严格执行“三公经费”预算</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部门“三公”经费决算数一项超预算扣1分，两项超预算扣2分，以此类推，直至扣完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3</w:t>
            </w:r>
          </w:p>
        </w:tc>
      </w:tr>
      <w:tr>
        <w:tblPrEx>
          <w:tblCellMar>
            <w:top w:w="0" w:type="dxa"/>
            <w:left w:w="0" w:type="dxa"/>
            <w:bottom w:w="0" w:type="dxa"/>
            <w:right w:w="0" w:type="dxa"/>
          </w:tblCellMar>
        </w:tblPrEx>
        <w:trPr>
          <w:trHeight w:val="270" w:hRule="atLeast"/>
        </w:trPr>
        <w:tc>
          <w:tcPr>
            <w:tcW w:w="477" w:type="pct"/>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b/>
                <w:bCs/>
                <w:color w:val="000000"/>
                <w:kern w:val="0"/>
                <w:sz w:val="19"/>
                <w:szCs w:val="19"/>
                <w:lang w:bidi="ar"/>
              </w:rPr>
              <w:t>综合管理（40分）</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债务管理（2分）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债务还本付息（2）</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按规定做好政府性债务还本付息工作</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实际还本付息金额÷应付金额×指标分值</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非税收入执收情况（4分）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非税收入征收情况（2分）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是否按照规定的项目、标准、征收方式执收非税收入，非税收入项目设立的权限和缓减免的依据，对非税收入进行缓减免</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发现有未按规定的非税收入项目、标准执收非税收入或有违反规定缓减免非税收入的，发现一次扣0.5分，直至扣完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非税收入上缴情况（2分）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是否及时足额将非税收入缴入财政</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发现未及时足额将非税收入缴入财政的或者截留、挪用非税收入的，发现一次扣0.5分，直至扣完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政府采购实施计划（4分）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政府采购实施计划编制             （2分）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实施计划与政府采购预算的一致性</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（1-调整或细化资金/政府采购预算资金）*分值</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政府采购实施计划的执行            （2分）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执行的实施计划与备案的实施计划的一致性</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（1-实施计划备案后的调整或细化资金/实施计划备案后的资金）*分值</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资产管理（6分）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资产管理信息系统建设情况（2分）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考核部门和单位将国有资产纳入资产信息系统管理情况</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①未将所属单位国有资产纳入系统管理，每少一个单位扣1分。②未将资产变动情况及时录入系统，每次扣0.5分。③未落实人员负责管理系统，扣1分。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135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行政事业单位资产清查开展情况（2分）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考核行政事业单位按要求及时、准确、全面开展资产清查工作情况</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108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行政事业单位资产报表上报情况（2分）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考核行政事业单位上报国有资产报表数据的真实性、准确性、全面性</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①未落实专人负责资产报表，未及时上报资产报表扣1分。②报表填报不规范，内容不完整，数据不真实，扣1分。③未提交分析报告，对资产变动情况未作分析说明，扣1分。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内控制度管理（2分）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内部控制度健全完整（2分）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考核部门内部控制制度的设置和执行情况</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内部控制制度健全完整并执行良好的得分，否则不得分。在本年度内因内控制度不健全或执行不到位，造成单位出现廉政风险或发生重大责任事故的不得分。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信息公开（6分）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预算公开（2分）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除涉密信息外，各部门要在财政部门批复后二十日内向社会公开本部门预算（含所有财政资金安排的“三公”经费、机关运行经费的安排、使用情况等）</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按财政厅通知要求公开预算，未按要求公开的，发现一处扣0.5分，直至扣完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决算公开（2分）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除涉密信息外，各部门要在财政部门批复二十日内向社会公开本部门决算（含所有财政资金安排的“三公”经费、机关运行经费的安排、使用情况等）</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未按要求公开的，发现一处问题0.5分，直至扣完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绩效信息公开（2分）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按要求公开部门整体支出绩效自评报告及其他按要求应公开的绩效信息</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未按要求公开的，发现一处问题0.5分，直至扣完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绩效评价（10分）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评价项目覆盖率（2分）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部门实施绩效评价项目数量占部门申报绩效目标项目数量的比重，用以反映和考核部门实施绩效评价项目资金覆盖情况</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评价覆盖率=实施绩效评价项目数量/申报绩效目标项目数量×100%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27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评价层次（2分）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部门（单位）是否对下级预算单位开展整体绩效评价</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实施评价下级预算单位的得分，否则不得分</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评价结果报告（2分）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部门是否按要求向财政部门报告自评报告等相关绩效信息</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未按要求报送的，发现一处扣0.5分，直至扣完。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整改完成率（4分）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部门是否按要求针对绩效评价发现问题制定整改措施，并整改落实到位</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完成率=应制定整改措施的项目数量/部门实际制定整改措施项目数量×100%。</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4</w:t>
            </w:r>
          </w:p>
        </w:tc>
      </w:tr>
      <w:tr>
        <w:tblPrEx>
          <w:tblCellMar>
            <w:top w:w="0" w:type="dxa"/>
            <w:left w:w="0" w:type="dxa"/>
            <w:bottom w:w="0" w:type="dxa"/>
            <w:right w:w="0" w:type="dxa"/>
          </w:tblCellMar>
        </w:tblPrEx>
        <w:trPr>
          <w:trHeight w:val="108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依法接受财政监督（6分）</w:t>
            </w:r>
          </w:p>
        </w:tc>
        <w:tc>
          <w:tcPr>
            <w:tcW w:w="715" w:type="pc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是否按要求开展自查自纠（2分）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根据相关自查自纠报告、报表报送时效和质量进行考核</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未在规定时间内报送自查自纠相关材料（包括：纸质和电子版）的，扣0.5分；报告内容不完整，扣1分；报表质量差（如：数据、逻辑、勾稽关系错误）等扣0.5分；直至扣完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重点检查发现违规违纪问题（2分）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根据检查组提供的工作底稿、检查报告等资料进行考核</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专项检查发现的违纪违规问题，每个问题扣0.5分，直至扣完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存在问题整改是否到位（2分）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根据相关整改报告、凭证依据等相关证明材料进行考核</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未在规定时间内完成整改，并提供相关证明材料的，每个问题0.5分，直至扣完</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eastAsia"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2</w:t>
            </w:r>
          </w:p>
        </w:tc>
      </w:tr>
      <w:tr>
        <w:tblPrEx>
          <w:tblCellMar>
            <w:top w:w="0" w:type="dxa"/>
            <w:left w:w="0" w:type="dxa"/>
            <w:bottom w:w="0" w:type="dxa"/>
            <w:right w:w="0" w:type="dxa"/>
          </w:tblCellMar>
        </w:tblPrEx>
        <w:trPr>
          <w:trHeight w:val="54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b/>
                <w:bCs/>
                <w:color w:val="000000"/>
                <w:kern w:val="0"/>
                <w:sz w:val="19"/>
                <w:szCs w:val="19"/>
                <w:lang w:bidi="ar"/>
              </w:rPr>
              <w:t>整体效益（30分）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部门整体绩效（30分）</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部门职责履行结果（10分）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履行法定职责，完成县委、县政府决策部署和重大工作任务完成情况</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根据县政府部门绩效评估结果换算</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10</w:t>
            </w:r>
          </w:p>
        </w:tc>
      </w:tr>
      <w:tr>
        <w:tblPrEx>
          <w:tblCellMar>
            <w:top w:w="0" w:type="dxa"/>
            <w:left w:w="0" w:type="dxa"/>
            <w:bottom w:w="0" w:type="dxa"/>
            <w:right w:w="0" w:type="dxa"/>
          </w:tblCellMar>
        </w:tblPrEx>
        <w:trPr>
          <w:trHeight w:val="27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重点项目绩效评价结果（10分）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部门实施重大项目的经济、社会效益</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根据财政厅组织实施项目绩效评价结果换算</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8</w:t>
            </w:r>
          </w:p>
        </w:tc>
      </w:tr>
      <w:tr>
        <w:tblPrEx>
          <w:tblCellMar>
            <w:top w:w="0" w:type="dxa"/>
            <w:left w:w="0" w:type="dxa"/>
            <w:bottom w:w="0" w:type="dxa"/>
            <w:right w:w="0"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N/>
              <w:bidi w:val="0"/>
              <w:ind w:left="0" w:leftChars="0"/>
              <w:jc w:val="center"/>
              <w:rPr>
                <w:rFonts w:hint="default" w:ascii="Times New Roman" w:hAnsi="Times New Roman" w:eastAsia="仿宋_GB2312" w:cs="Times New Roman"/>
                <w:color w:val="000000"/>
                <w:sz w:val="19"/>
                <w:szCs w:val="19"/>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服务对象满意度（10分）</w:t>
            </w:r>
          </w:p>
        </w:tc>
        <w:tc>
          <w:tcPr>
            <w:tcW w:w="119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密切联系群众、服务群众情况，办理人大代表建议、政协提案情况，妥善处理群众来信来访、化解社会矛盾情况，加强政风行风建设、解决损害群众利益情况</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_GB2312" w:cs="Times New Roman"/>
                <w:color w:val="000000"/>
                <w:sz w:val="19"/>
                <w:szCs w:val="19"/>
              </w:rPr>
            </w:pPr>
            <w:r>
              <w:rPr>
                <w:rFonts w:hint="default" w:ascii="Times New Roman" w:hAnsi="Times New Roman" w:eastAsia="仿宋_GB2312" w:cs="Times New Roman"/>
                <w:color w:val="000000"/>
                <w:kern w:val="0"/>
                <w:sz w:val="19"/>
                <w:szCs w:val="19"/>
                <w:lang w:bidi="ar"/>
              </w:rPr>
              <w:t>根据县政府部门绩效评估结果换算</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center"/>
              <w:textAlignment w:val="center"/>
              <w:rPr>
                <w:rFonts w:hint="default" w:ascii="Times New Roman" w:hAnsi="Times New Roman" w:eastAsia="仿宋_GB2312" w:cs="Times New Roman"/>
                <w:color w:val="000000"/>
                <w:kern w:val="0"/>
                <w:sz w:val="19"/>
                <w:szCs w:val="19"/>
                <w:lang w:val="en-US" w:eastAsia="zh-CN" w:bidi="ar"/>
              </w:rPr>
            </w:pPr>
            <w:r>
              <w:rPr>
                <w:rFonts w:hint="eastAsia" w:ascii="Times New Roman" w:hAnsi="Times New Roman" w:eastAsia="仿宋_GB2312" w:cs="Times New Roman"/>
                <w:color w:val="000000"/>
                <w:kern w:val="0"/>
                <w:sz w:val="19"/>
                <w:szCs w:val="19"/>
                <w:lang w:val="en-US" w:eastAsia="zh-CN" w:bidi="ar"/>
              </w:rPr>
              <w:t>9</w:t>
            </w:r>
          </w:p>
        </w:tc>
      </w:tr>
      <w:tr>
        <w:tblPrEx>
          <w:tblCellMar>
            <w:top w:w="0" w:type="dxa"/>
            <w:left w:w="0" w:type="dxa"/>
            <w:bottom w:w="0" w:type="dxa"/>
            <w:right w:w="0" w:type="dxa"/>
          </w:tblCellMar>
        </w:tblPrEx>
        <w:trPr>
          <w:trHeight w:val="640" w:hRule="atLeast"/>
        </w:trPr>
        <w:tc>
          <w:tcPr>
            <w:tcW w:w="4598" w:type="pct"/>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cs="Times New Roman"/>
                <w:color w:val="000000"/>
                <w:sz w:val="18"/>
                <w:szCs w:val="18"/>
              </w:rPr>
            </w:pPr>
            <w:r>
              <w:rPr>
                <w:rFonts w:hint="default" w:ascii="Times New Roman" w:hAnsi="Times New Roman" w:eastAsia="仿宋" w:cs="Times New Roman"/>
                <w:color w:val="000000"/>
                <w:kern w:val="0"/>
                <w:sz w:val="24"/>
                <w:szCs w:val="24"/>
                <w:lang w:bidi="ar"/>
              </w:rPr>
              <w:t>注：若某部门不存在某项评价内容或评价指标，则该评价内容或评价指标不计入该部门考核评价范围，即该部门评价总分＝不含该评价内容或指标的评价总分/（100-该评价内容或指标所占分值）*100。</w:t>
            </w:r>
          </w:p>
        </w:tc>
        <w:tc>
          <w:tcPr>
            <w:tcW w:w="401" w:type="pct"/>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N/>
              <w:bidi w:val="0"/>
              <w:ind w:left="0" w:leftChars="0"/>
              <w:jc w:val="left"/>
              <w:textAlignment w:val="center"/>
              <w:rPr>
                <w:rFonts w:hint="default" w:ascii="Times New Roman" w:hAnsi="Times New Roman" w:eastAsia="仿宋" w:cs="Times New Roman"/>
                <w:color w:val="000000"/>
                <w:kern w:val="0"/>
                <w:sz w:val="24"/>
                <w:szCs w:val="24"/>
                <w:lang w:bidi="ar"/>
              </w:rPr>
            </w:pPr>
          </w:p>
        </w:tc>
      </w:tr>
    </w:tbl>
    <w:p>
      <w:pPr>
        <w:pStyle w:val="2"/>
        <w:rPr>
          <w:rFonts w:hint="eastAsia" w:ascii="Times New Roman" w:hAnsi="Times New Roman" w:eastAsia="仿宋_GB2312" w:cs="Times New Roman"/>
          <w:sz w:val="32"/>
          <w:szCs w:val="32"/>
        </w:rPr>
        <w:sectPr>
          <w:footerReference r:id="rId5" w:type="default"/>
          <w:pgSz w:w="16838" w:h="11906" w:orient="landscape"/>
          <w:pgMar w:top="2098" w:right="1474" w:bottom="1984" w:left="1587" w:header="851" w:footer="992" w:gutter="0"/>
          <w:pgNumType w:fmt="numberInDash" w:start="9"/>
          <w:cols w:space="720" w:num="1"/>
          <w:docGrid w:type="lines" w:linePitch="435" w:charSpace="0"/>
        </w:sectPr>
      </w:pPr>
    </w:p>
    <w:p>
      <w:pPr>
        <w:pStyle w:val="9"/>
        <w:rPr>
          <w:rFonts w:hint="default"/>
          <w:lang w:val="en-US" w:eastAsia="zh-CN"/>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59264;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pFdb9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60288;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692EC"/>
    <w:multiLevelType w:val="singleLevel"/>
    <w:tmpl w:val="D91692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mU5ZWY2ZjgxMjIwNGIzZDg4NmYyNmExNWYxYjEifQ=="/>
  </w:docVars>
  <w:rsids>
    <w:rsidRoot w:val="00000000"/>
    <w:rsid w:val="02063F57"/>
    <w:rsid w:val="0AFB3683"/>
    <w:rsid w:val="0E5D1D20"/>
    <w:rsid w:val="10D0738E"/>
    <w:rsid w:val="18D314AE"/>
    <w:rsid w:val="2139424C"/>
    <w:rsid w:val="230274D4"/>
    <w:rsid w:val="33E97D36"/>
    <w:rsid w:val="3E4B12A9"/>
    <w:rsid w:val="417A7303"/>
    <w:rsid w:val="47BC567F"/>
    <w:rsid w:val="493E1DBE"/>
    <w:rsid w:val="4B8A70BE"/>
    <w:rsid w:val="4C17431A"/>
    <w:rsid w:val="4D3A21E0"/>
    <w:rsid w:val="4E28581D"/>
    <w:rsid w:val="521B0D56"/>
    <w:rsid w:val="52604391"/>
    <w:rsid w:val="54D81E02"/>
    <w:rsid w:val="66503652"/>
    <w:rsid w:val="69910DF3"/>
    <w:rsid w:val="6C132C4B"/>
    <w:rsid w:val="6ED3439D"/>
    <w:rsid w:val="6EFA1DCF"/>
    <w:rsid w:val="6F700B73"/>
    <w:rsid w:val="6FED5F48"/>
    <w:rsid w:val="70815E75"/>
    <w:rsid w:val="70FC1054"/>
    <w:rsid w:val="7B4F72FA"/>
    <w:rsid w:val="7E436CF5"/>
    <w:rsid w:val="7E8015CB"/>
    <w:rsid w:val="7FBB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99"/>
    <w:pPr>
      <w:spacing w:beforeLines="30"/>
    </w:pPr>
    <w:rPr>
      <w:rFonts w:ascii="仿宋_GB2312" w:hAnsi="Times New Roman"/>
      <w:kern w:val="0"/>
      <w:sz w:val="30"/>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uiPriority w:val="0"/>
    <w:pPr>
      <w:jc w:val="left"/>
    </w:pPr>
    <w:rPr>
      <w:kern w:val="0"/>
      <w:sz w:val="24"/>
    </w:rPr>
  </w:style>
  <w:style w:type="character" w:styleId="8">
    <w:name w:val="page number"/>
    <w:basedOn w:val="7"/>
    <w:qFormat/>
    <w:uiPriority w:val="0"/>
  </w:style>
  <w:style w:type="paragraph" w:customStyle="1" w:styleId="9">
    <w:name w:val="Default"/>
    <w:basedOn w:val="10"/>
    <w:next w:val="1"/>
    <w:autoRedefine/>
    <w:qFormat/>
    <w:uiPriority w:val="0"/>
    <w:pPr>
      <w:widowControl w:val="0"/>
      <w:autoSpaceDE w:val="0"/>
      <w:autoSpaceDN w:val="0"/>
      <w:adjustRightInd w:val="0"/>
    </w:pPr>
    <w:rPr>
      <w:rFonts w:ascii="仿宋" w:hAnsi="仿宋" w:cs="仿宋"/>
      <w:color w:val="000000"/>
      <w:sz w:val="24"/>
      <w:szCs w:val="24"/>
      <w:lang w:val="en-US" w:eastAsia="zh-CN" w:bidi="ar-SA"/>
    </w:rPr>
  </w:style>
  <w:style w:type="paragraph" w:customStyle="1" w:styleId="10">
    <w:name w:val="正文1"/>
    <w:autoRedefine/>
    <w:qFormat/>
    <w:uiPriority w:val="0"/>
    <w:pPr>
      <w:jc w:val="both"/>
    </w:pPr>
    <w:rPr>
      <w:rFonts w:ascii="Calibri" w:hAnsi="Calibri" w:eastAsia="宋体" w:cs="Times New Roman"/>
      <w:sz w:val="32"/>
      <w:szCs w:val="32"/>
      <w:lang w:val="en-US" w:eastAsia="zh-CN" w:bidi="ar-SA"/>
    </w:rPr>
  </w:style>
  <w:style w:type="character" w:customStyle="1" w:styleId="11">
    <w:name w:val="font61"/>
    <w:basedOn w:val="7"/>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3489</Words>
  <Characters>3800</Characters>
  <Lines>0</Lines>
  <Paragraphs>0</Paragraphs>
  <TotalTime>5</TotalTime>
  <ScaleCrop>false</ScaleCrop>
  <LinksUpToDate>false</LinksUpToDate>
  <CharactersWithSpaces>3825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2022-04-25T02:46:00Z</dcterms:created>
  <dc:creator>Administrator</dc:creator>
  <cp:lastModifiedBy>Administrator</cp:lastModifiedBy>
  <cp:lastPrinted>2022-04-28T08:04:00Z</cp:lastPrinted>
  <dcterms:modified xsi:type="dcterms:W3CDTF">2024-01-02T01:49:24Z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19F847CCBB924623BD1700C565CB4BC9_13</vt:lpwstr>
  </property>
</Properties>
</file>